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C100" w14:textId="61D90CEB" w:rsidR="00C70C46" w:rsidRDefault="00C70C46" w:rsidP="00C70C46">
      <w:pPr>
        <w:pStyle w:val="HoofdtekstA"/>
        <w:jc w:val="center"/>
        <w:rPr>
          <w:b/>
          <w:bCs/>
          <w:lang w:val="fr-BE"/>
        </w:rPr>
      </w:pPr>
      <w:r w:rsidRPr="00C70C46">
        <w:rPr>
          <w:noProof/>
        </w:rPr>
        <w:drawing>
          <wp:anchor distT="0" distB="0" distL="114300" distR="114300" simplePos="0" relativeHeight="251660288" behindDoc="0" locked="0" layoutInCell="1" allowOverlap="1" wp14:anchorId="5FE33445" wp14:editId="06CFBA20">
            <wp:simplePos x="0" y="0"/>
            <wp:positionH relativeFrom="column">
              <wp:posOffset>3657600</wp:posOffset>
            </wp:positionH>
            <wp:positionV relativeFrom="page">
              <wp:posOffset>282575</wp:posOffset>
            </wp:positionV>
            <wp:extent cx="997585" cy="1310005"/>
            <wp:effectExtent l="38100" t="19050" r="69215" b="80645"/>
            <wp:wrapTopAndBottom/>
            <wp:docPr id="3" name="Picture 2" descr="A logo with houses and colorful stripes&#10;&#10;Description automatically generated">
              <a:extLst xmlns:a="http://schemas.openxmlformats.org/drawingml/2006/main">
                <a:ext uri="{FF2B5EF4-FFF2-40B4-BE49-F238E27FC236}">
                  <a16:creationId xmlns:a16="http://schemas.microsoft.com/office/drawing/2014/main" id="{0DC01DBB-0593-34F2-72AD-E93672095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with houses and colorful stripes&#10;&#10;Description automatically generated">
                      <a:extLst>
                        <a:ext uri="{FF2B5EF4-FFF2-40B4-BE49-F238E27FC236}">
                          <a16:creationId xmlns:a16="http://schemas.microsoft.com/office/drawing/2014/main" id="{0DC01DBB-0593-34F2-72AD-E93672095A5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7585" cy="1310005"/>
                    </a:xfrm>
                    <a:prstGeom prst="rect">
                      <a:avLst/>
                    </a:prstGeom>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1662336" behindDoc="0" locked="0" layoutInCell="1" allowOverlap="1" wp14:anchorId="16684035" wp14:editId="0EF8D270">
            <wp:simplePos x="0" y="0"/>
            <wp:positionH relativeFrom="column">
              <wp:posOffset>434975</wp:posOffset>
            </wp:positionH>
            <wp:positionV relativeFrom="page">
              <wp:posOffset>599440</wp:posOffset>
            </wp:positionV>
            <wp:extent cx="2495550" cy="372745"/>
            <wp:effectExtent l="0" t="0" r="0" b="825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5550" cy="372745"/>
                    </a:xfrm>
                    <a:prstGeom prst="rect">
                      <a:avLst/>
                    </a:prstGeom>
                    <a:noFill/>
                  </pic:spPr>
                </pic:pic>
              </a:graphicData>
            </a:graphic>
            <wp14:sizeRelH relativeFrom="page">
              <wp14:pctWidth>0</wp14:pctWidth>
            </wp14:sizeRelH>
            <wp14:sizeRelV relativeFrom="page">
              <wp14:pctHeight>0</wp14:pctHeight>
            </wp14:sizeRelV>
          </wp:anchor>
        </w:drawing>
      </w:r>
    </w:p>
    <w:p w14:paraId="77E252B0" w14:textId="149F1BE8" w:rsidR="00AD7C5D" w:rsidRDefault="002E4257" w:rsidP="00AD7C5D">
      <w:pPr>
        <w:pStyle w:val="HoofdtekstA"/>
        <w:jc w:val="right"/>
        <w:rPr>
          <w:b/>
          <w:bCs/>
          <w:sz w:val="20"/>
          <w:szCs w:val="20"/>
          <w:lang w:val="fr-BE"/>
        </w:rPr>
      </w:pPr>
      <w:r>
        <w:rPr>
          <w:sz w:val="20"/>
          <w:szCs w:val="20"/>
          <w:lang w:val="fr-BE"/>
        </w:rPr>
        <w:t>Bruxelles,</w:t>
      </w:r>
      <w:r w:rsidR="00AD7C5D">
        <w:rPr>
          <w:sz w:val="20"/>
          <w:szCs w:val="20"/>
          <w:lang w:val="fr-BE"/>
        </w:rPr>
        <w:t xml:space="preserve"> 1</w:t>
      </w:r>
      <w:r>
        <w:rPr>
          <w:sz w:val="20"/>
          <w:szCs w:val="20"/>
          <w:lang w:val="fr-BE"/>
        </w:rPr>
        <w:t>1</w:t>
      </w:r>
      <w:r w:rsidR="00AD7C5D">
        <w:rPr>
          <w:sz w:val="20"/>
          <w:szCs w:val="20"/>
          <w:lang w:val="fr-BE"/>
        </w:rPr>
        <w:t xml:space="preserve"> </w:t>
      </w:r>
      <w:r w:rsidR="00DA5910">
        <w:rPr>
          <w:sz w:val="20"/>
          <w:szCs w:val="20"/>
          <w:lang w:val="fr-BE"/>
        </w:rPr>
        <w:t>février</w:t>
      </w:r>
      <w:r w:rsidR="00AD7C5D">
        <w:rPr>
          <w:sz w:val="20"/>
          <w:szCs w:val="20"/>
          <w:lang w:val="fr-BE"/>
        </w:rPr>
        <w:t xml:space="preserve"> 202</w:t>
      </w:r>
      <w:r w:rsidR="00DA5910">
        <w:rPr>
          <w:sz w:val="20"/>
          <w:szCs w:val="20"/>
          <w:lang w:val="fr-BE"/>
        </w:rPr>
        <w:t>5</w:t>
      </w:r>
      <w:bookmarkStart w:id="0" w:name="_Hlk91158770"/>
      <w:r w:rsidR="00AD7C5D">
        <w:rPr>
          <w:b/>
          <w:bCs/>
          <w:color w:val="FF0000"/>
          <w:lang w:val="fr-BE"/>
        </w:rPr>
        <w:br/>
      </w:r>
      <w:bookmarkStart w:id="1" w:name="_Hlk124235218"/>
      <w:r w:rsidR="00AD7C5D">
        <w:rPr>
          <w:b/>
          <w:bCs/>
          <w:color w:val="FF0000"/>
          <w:sz w:val="20"/>
          <w:szCs w:val="20"/>
          <w:lang w:val="fr-BE"/>
        </w:rPr>
        <w:t xml:space="preserve">Sous embargo jusqu’au </w:t>
      </w:r>
      <w:r>
        <w:rPr>
          <w:b/>
          <w:bCs/>
          <w:color w:val="FF0000"/>
          <w:sz w:val="20"/>
          <w:szCs w:val="20"/>
          <w:lang w:val="fr-BE"/>
        </w:rPr>
        <w:t>mar</w:t>
      </w:r>
      <w:r w:rsidR="00AD7C5D">
        <w:rPr>
          <w:b/>
          <w:bCs/>
          <w:color w:val="FF0000"/>
          <w:sz w:val="20"/>
          <w:szCs w:val="20"/>
          <w:lang w:val="fr-BE"/>
        </w:rPr>
        <w:t>di 1</w:t>
      </w:r>
      <w:r>
        <w:rPr>
          <w:b/>
          <w:bCs/>
          <w:color w:val="FF0000"/>
          <w:sz w:val="20"/>
          <w:szCs w:val="20"/>
          <w:lang w:val="fr-BE"/>
        </w:rPr>
        <w:t>1</w:t>
      </w:r>
      <w:r w:rsidR="00DA5910">
        <w:rPr>
          <w:b/>
          <w:bCs/>
          <w:color w:val="FF0000"/>
          <w:sz w:val="20"/>
          <w:szCs w:val="20"/>
          <w:lang w:val="fr-BE"/>
        </w:rPr>
        <w:t xml:space="preserve"> février</w:t>
      </w:r>
      <w:r w:rsidR="00AD7C5D">
        <w:rPr>
          <w:b/>
          <w:bCs/>
          <w:color w:val="FF0000"/>
          <w:sz w:val="20"/>
          <w:szCs w:val="20"/>
          <w:lang w:val="fr-BE"/>
        </w:rPr>
        <w:t xml:space="preserve">, </w:t>
      </w:r>
      <w:r w:rsidR="00DA5910">
        <w:rPr>
          <w:b/>
          <w:bCs/>
          <w:color w:val="FF0000"/>
          <w:sz w:val="20"/>
          <w:szCs w:val="20"/>
          <w:lang w:val="fr-BE"/>
        </w:rPr>
        <w:t>12</w:t>
      </w:r>
      <w:bookmarkEnd w:id="0"/>
      <w:r w:rsidR="00AD7C5D">
        <w:rPr>
          <w:b/>
          <w:bCs/>
          <w:color w:val="FF0000"/>
          <w:sz w:val="20"/>
          <w:szCs w:val="20"/>
          <w:lang w:val="fr-BE"/>
        </w:rPr>
        <w:t>h</w:t>
      </w:r>
    </w:p>
    <w:bookmarkEnd w:id="1"/>
    <w:p w14:paraId="7A9316E5" w14:textId="77777777" w:rsidR="00AD7C5D" w:rsidRDefault="00AD7C5D" w:rsidP="00035635">
      <w:pPr>
        <w:pStyle w:val="HoofdtekstA"/>
        <w:rPr>
          <w:b/>
          <w:bCs/>
          <w:lang w:val="fr-BE"/>
        </w:rPr>
      </w:pPr>
    </w:p>
    <w:p w14:paraId="7E9B3DE4" w14:textId="26655FBD" w:rsidR="00C70C46" w:rsidRDefault="00C70C46" w:rsidP="00035635">
      <w:pPr>
        <w:pStyle w:val="HoofdtekstA"/>
        <w:rPr>
          <w:b/>
          <w:bCs/>
          <w:lang w:val="fr-BE"/>
        </w:rPr>
      </w:pPr>
      <w:r>
        <w:rPr>
          <w:b/>
          <w:bCs/>
          <w:lang w:val="fr-BE"/>
        </w:rPr>
        <w:t xml:space="preserve">BAROMÈTRE DES NOTAIRES:  L’IMMOBILIER EN 2024 </w:t>
      </w:r>
      <w:r w:rsidR="00365C60">
        <w:rPr>
          <w:b/>
          <w:bCs/>
          <w:lang w:val="fr-BE"/>
        </w:rPr>
        <w:t>À BRUXELLES</w:t>
      </w:r>
    </w:p>
    <w:p w14:paraId="43ABDC20" w14:textId="77EE892B" w:rsidR="00C70C46" w:rsidRPr="00C70C46" w:rsidRDefault="00C70C46" w:rsidP="00035635">
      <w:pPr>
        <w:pStyle w:val="HoofdtekstA"/>
        <w:rPr>
          <w:b/>
          <w:bCs/>
          <w:lang w:val="fr-BE"/>
        </w:rPr>
      </w:pPr>
      <w:r w:rsidRPr="00C70C46">
        <w:rPr>
          <w:b/>
          <w:bCs/>
          <w:lang w:val="fr-BE"/>
        </w:rPr>
        <w:t>Quelques chiffres pour remettre l’activité br</w:t>
      </w:r>
      <w:r w:rsidR="00365C60">
        <w:rPr>
          <w:b/>
          <w:bCs/>
          <w:lang w:val="fr-BE"/>
        </w:rPr>
        <w:t>uxelloise</w:t>
      </w:r>
      <w:r w:rsidRPr="00C70C46">
        <w:rPr>
          <w:b/>
          <w:bCs/>
          <w:lang w:val="fr-BE"/>
        </w:rPr>
        <w:t xml:space="preserve"> dans son contexte</w:t>
      </w:r>
    </w:p>
    <w:p w14:paraId="0FBE5A69" w14:textId="77777777" w:rsidR="00C70C46" w:rsidRDefault="00C70C46" w:rsidP="00C70C46">
      <w:pPr>
        <w:pStyle w:val="HoofdtekstA"/>
        <w:rPr>
          <w:lang w:val="fr-BE"/>
        </w:rPr>
      </w:pPr>
      <w:r w:rsidRPr="00C70C46">
        <w:rPr>
          <w:noProof/>
          <w:lang w:val="fr-BE"/>
        </w:rPr>
        <w:drawing>
          <wp:inline distT="0" distB="0" distL="0" distR="0" wp14:anchorId="414D5DFA" wp14:editId="01822097">
            <wp:extent cx="5235575" cy="1711162"/>
            <wp:effectExtent l="0" t="0" r="3175" b="3810"/>
            <wp:docPr id="480649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649215" name=""/>
                    <pic:cNvPicPr/>
                  </pic:nvPicPr>
                  <pic:blipFill>
                    <a:blip r:embed="rId7"/>
                    <a:stretch>
                      <a:fillRect/>
                    </a:stretch>
                  </pic:blipFill>
                  <pic:spPr>
                    <a:xfrm>
                      <a:off x="0" y="0"/>
                      <a:ext cx="5266694" cy="1721333"/>
                    </a:xfrm>
                    <a:prstGeom prst="rect">
                      <a:avLst/>
                    </a:prstGeom>
                  </pic:spPr>
                </pic:pic>
              </a:graphicData>
            </a:graphic>
          </wp:inline>
        </w:drawing>
      </w:r>
    </w:p>
    <w:p w14:paraId="423E9C80" w14:textId="1E72F635" w:rsidR="00C70C46" w:rsidRDefault="00C70C46" w:rsidP="00C70C46">
      <w:pPr>
        <w:pStyle w:val="HoofdtekstA"/>
        <w:rPr>
          <w:lang w:val="fr-BE"/>
        </w:rPr>
      </w:pPr>
      <w:r w:rsidRPr="00C70C46">
        <w:rPr>
          <w:noProof/>
          <w:lang w:val="fr-BE"/>
        </w:rPr>
        <w:drawing>
          <wp:inline distT="0" distB="0" distL="0" distR="0" wp14:anchorId="2969EF6F" wp14:editId="2A16031F">
            <wp:extent cx="2499804" cy="1387475"/>
            <wp:effectExtent l="0" t="0" r="0" b="3175"/>
            <wp:docPr id="1506602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602033" name=""/>
                    <pic:cNvPicPr/>
                  </pic:nvPicPr>
                  <pic:blipFill>
                    <a:blip r:embed="rId8"/>
                    <a:stretch>
                      <a:fillRect/>
                    </a:stretch>
                  </pic:blipFill>
                  <pic:spPr>
                    <a:xfrm>
                      <a:off x="0" y="0"/>
                      <a:ext cx="2509651" cy="1392940"/>
                    </a:xfrm>
                    <a:prstGeom prst="rect">
                      <a:avLst/>
                    </a:prstGeom>
                  </pic:spPr>
                </pic:pic>
              </a:graphicData>
            </a:graphic>
          </wp:inline>
        </w:drawing>
      </w:r>
      <w:r w:rsidRPr="00C70C46">
        <w:rPr>
          <w:noProof/>
        </w:rPr>
        <w:t xml:space="preserve"> </w:t>
      </w:r>
      <w:r w:rsidRPr="00C70C46">
        <w:rPr>
          <w:noProof/>
          <w:lang w:val="fr-BE"/>
        </w:rPr>
        <w:drawing>
          <wp:inline distT="0" distB="0" distL="0" distR="0" wp14:anchorId="392F6905" wp14:editId="3B60E018">
            <wp:extent cx="2721919" cy="1857347"/>
            <wp:effectExtent l="0" t="0" r="2540" b="0"/>
            <wp:docPr id="591229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29600" name=""/>
                    <pic:cNvPicPr/>
                  </pic:nvPicPr>
                  <pic:blipFill>
                    <a:blip r:embed="rId9"/>
                    <a:stretch>
                      <a:fillRect/>
                    </a:stretch>
                  </pic:blipFill>
                  <pic:spPr>
                    <a:xfrm>
                      <a:off x="0" y="0"/>
                      <a:ext cx="2839041" cy="1937267"/>
                    </a:xfrm>
                    <a:prstGeom prst="rect">
                      <a:avLst/>
                    </a:prstGeom>
                  </pic:spPr>
                </pic:pic>
              </a:graphicData>
            </a:graphic>
          </wp:inline>
        </w:drawing>
      </w:r>
    </w:p>
    <w:p w14:paraId="753BE18D" w14:textId="77777777" w:rsidR="00C70C46" w:rsidRPr="00C70C46" w:rsidRDefault="00C70C46" w:rsidP="00C70C46">
      <w:pPr>
        <w:pStyle w:val="HoofdtekstA"/>
        <w:numPr>
          <w:ilvl w:val="0"/>
          <w:numId w:val="1"/>
        </w:numPr>
        <w:rPr>
          <w:lang w:val="fr-BE"/>
        </w:rPr>
      </w:pPr>
      <w:r w:rsidRPr="00C70C46">
        <w:rPr>
          <w:lang w:val="fr-FR"/>
        </w:rPr>
        <w:t>A l'échelle régionale, les proportions entre les différentes régions restent stables. En 2024, la Flandre représente 63% des actes de vente, la Wallonie 28% et Bruxelles 9%.</w:t>
      </w:r>
    </w:p>
    <w:p w14:paraId="1548D5D0" w14:textId="191C8602" w:rsidR="00C70C46" w:rsidRPr="00C70C46" w:rsidRDefault="00C70C46" w:rsidP="00C70C46">
      <w:pPr>
        <w:pStyle w:val="HoofdtekstA"/>
        <w:numPr>
          <w:ilvl w:val="0"/>
          <w:numId w:val="1"/>
        </w:numPr>
        <w:rPr>
          <w:lang w:val="fr-BE"/>
        </w:rPr>
      </w:pPr>
      <w:r w:rsidRPr="00C70C46">
        <w:rPr>
          <w:lang w:val="fr-FR"/>
        </w:rPr>
        <w:t>La tendance à la baisse s'est stabilisée dans tout le pays, cependant une légère augmentation du nombre de ventes est notable à Bruxelles</w:t>
      </w:r>
      <w:r w:rsidR="00620C08">
        <w:rPr>
          <w:lang w:val="fr-FR"/>
        </w:rPr>
        <w:t xml:space="preserve"> (+0,3%)</w:t>
      </w:r>
      <w:r w:rsidRPr="00C70C46">
        <w:rPr>
          <w:lang w:val="fr-FR"/>
        </w:rPr>
        <w:t>.</w:t>
      </w:r>
    </w:p>
    <w:p w14:paraId="56FF501C" w14:textId="019045FF" w:rsidR="00C70C46" w:rsidRPr="00C70C46" w:rsidRDefault="00C70C46" w:rsidP="00C70C46">
      <w:pPr>
        <w:pStyle w:val="HoofdtekstA"/>
        <w:rPr>
          <w:b/>
          <w:bCs/>
          <w:lang w:val="fr-BE"/>
        </w:rPr>
      </w:pPr>
      <w:r w:rsidRPr="00C70C46">
        <w:rPr>
          <w:b/>
          <w:bCs/>
          <w:lang w:val="fr-BE"/>
        </w:rPr>
        <w:t xml:space="preserve">Qu’observe-ton </w:t>
      </w:r>
      <w:r w:rsidR="000D16A5">
        <w:rPr>
          <w:b/>
          <w:bCs/>
          <w:lang w:val="fr-BE"/>
        </w:rPr>
        <w:t xml:space="preserve">en 2024 </w:t>
      </w:r>
      <w:r w:rsidRPr="00C70C46">
        <w:rPr>
          <w:b/>
          <w:bCs/>
          <w:lang w:val="fr-BE"/>
        </w:rPr>
        <w:t>au niveau d</w:t>
      </w:r>
      <w:r w:rsidR="000D16A5">
        <w:rPr>
          <w:b/>
          <w:bCs/>
          <w:lang w:val="fr-BE"/>
        </w:rPr>
        <w:t>e Bruxelles</w:t>
      </w:r>
      <w:r w:rsidRPr="00C70C46">
        <w:rPr>
          <w:b/>
          <w:bCs/>
          <w:lang w:val="fr-BE"/>
        </w:rPr>
        <w:t> ?</w:t>
      </w:r>
    </w:p>
    <w:p w14:paraId="5FBAA1B9" w14:textId="58BB791C" w:rsidR="00C70C46" w:rsidRDefault="00093461" w:rsidP="00C70C46">
      <w:pPr>
        <w:pStyle w:val="HoofdtekstA"/>
        <w:rPr>
          <w:lang w:val="fr-BE"/>
        </w:rPr>
      </w:pPr>
      <w:r w:rsidRPr="00093461">
        <w:rPr>
          <w:noProof/>
          <w:lang w:val="fr-BE"/>
        </w:rPr>
        <w:drawing>
          <wp:inline distT="0" distB="0" distL="0" distR="0" wp14:anchorId="06D541AA" wp14:editId="449A4DD0">
            <wp:extent cx="3422650" cy="1473566"/>
            <wp:effectExtent l="0" t="0" r="6350" b="0"/>
            <wp:docPr id="59586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1592" name=""/>
                    <pic:cNvPicPr/>
                  </pic:nvPicPr>
                  <pic:blipFill>
                    <a:blip r:embed="rId10"/>
                    <a:stretch>
                      <a:fillRect/>
                    </a:stretch>
                  </pic:blipFill>
                  <pic:spPr>
                    <a:xfrm>
                      <a:off x="0" y="0"/>
                      <a:ext cx="3594635" cy="1547611"/>
                    </a:xfrm>
                    <a:prstGeom prst="rect">
                      <a:avLst/>
                    </a:prstGeom>
                  </pic:spPr>
                </pic:pic>
              </a:graphicData>
            </a:graphic>
          </wp:inline>
        </w:drawing>
      </w:r>
      <w:r w:rsidR="00C70C46" w:rsidRPr="00C70C46">
        <w:rPr>
          <w:noProof/>
          <w:lang w:val="fr-BE"/>
        </w:rPr>
        <w:t xml:space="preserve"> </w:t>
      </w:r>
    </w:p>
    <w:p w14:paraId="7DD5C8BC" w14:textId="77777777" w:rsidR="001143B8" w:rsidRPr="001143B8" w:rsidRDefault="001143B8" w:rsidP="001143B8">
      <w:pPr>
        <w:pStyle w:val="HoofdtekstA"/>
        <w:rPr>
          <w:lang w:val="fr-BE"/>
        </w:rPr>
      </w:pPr>
      <w:r w:rsidRPr="001143B8">
        <w:rPr>
          <w:lang w:val="fr-FR"/>
        </w:rPr>
        <w:lastRenderedPageBreak/>
        <w:t>Bruxelles représente 9% du marché national, ce qui comparable à sa part de population belge (10%).</w:t>
      </w:r>
    </w:p>
    <w:p w14:paraId="5B030F06" w14:textId="1409741A" w:rsidR="00C70C46" w:rsidRDefault="00035635" w:rsidP="00C70C46">
      <w:pPr>
        <w:pStyle w:val="HoofdtekstA"/>
        <w:rPr>
          <w:b/>
          <w:bCs/>
          <w:lang w:val="fr-BE"/>
        </w:rPr>
      </w:pPr>
      <w:r>
        <w:rPr>
          <w:b/>
          <w:bCs/>
          <w:lang w:val="fr-BE"/>
        </w:rPr>
        <w:t>Maisons : q</w:t>
      </w:r>
      <w:r w:rsidR="00C70C46" w:rsidRPr="00C70C46">
        <w:rPr>
          <w:b/>
          <w:bCs/>
          <w:lang w:val="fr-BE"/>
        </w:rPr>
        <w:t>u’observe-ton</w:t>
      </w:r>
      <w:r w:rsidR="006C516B">
        <w:rPr>
          <w:b/>
          <w:bCs/>
          <w:lang w:val="fr-BE"/>
        </w:rPr>
        <w:t xml:space="preserve"> en 2024</w:t>
      </w:r>
      <w:r w:rsidR="00C70C46" w:rsidRPr="00C70C46">
        <w:rPr>
          <w:b/>
          <w:bCs/>
          <w:lang w:val="fr-BE"/>
        </w:rPr>
        <w:t xml:space="preserve"> au niveau d</w:t>
      </w:r>
      <w:r w:rsidR="00620C08">
        <w:rPr>
          <w:b/>
          <w:bCs/>
          <w:lang w:val="fr-BE"/>
        </w:rPr>
        <w:t>e Bruxelles</w:t>
      </w:r>
      <w:r w:rsidR="00C70C46" w:rsidRPr="00C70C46">
        <w:rPr>
          <w:b/>
          <w:bCs/>
          <w:lang w:val="fr-BE"/>
        </w:rPr>
        <w:t> ?</w:t>
      </w:r>
    </w:p>
    <w:p w14:paraId="4F76FABF" w14:textId="267D734D" w:rsidR="006E7150" w:rsidRPr="00C70C46" w:rsidRDefault="006E7150" w:rsidP="00C70C46">
      <w:pPr>
        <w:pStyle w:val="HoofdtekstA"/>
        <w:rPr>
          <w:b/>
          <w:bCs/>
          <w:lang w:val="fr-BE"/>
        </w:rPr>
      </w:pPr>
      <w:r w:rsidRPr="006E7150">
        <w:rPr>
          <w:noProof/>
          <w:lang w:val="fr-BE"/>
        </w:rPr>
        <w:t xml:space="preserve"> </w:t>
      </w:r>
      <w:r w:rsidR="00892254" w:rsidRPr="00892254">
        <w:rPr>
          <w:b/>
          <w:bCs/>
          <w:noProof/>
          <w:lang w:val="fr-BE"/>
        </w:rPr>
        <w:drawing>
          <wp:inline distT="0" distB="0" distL="0" distR="0" wp14:anchorId="07D13FAD" wp14:editId="390D3C2D">
            <wp:extent cx="2584450" cy="1434532"/>
            <wp:effectExtent l="0" t="0" r="6350" b="0"/>
            <wp:docPr id="2047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983" name=""/>
                    <pic:cNvPicPr/>
                  </pic:nvPicPr>
                  <pic:blipFill>
                    <a:blip r:embed="rId11"/>
                    <a:stretch>
                      <a:fillRect/>
                    </a:stretch>
                  </pic:blipFill>
                  <pic:spPr>
                    <a:xfrm>
                      <a:off x="0" y="0"/>
                      <a:ext cx="2597802" cy="1441943"/>
                    </a:xfrm>
                    <a:prstGeom prst="rect">
                      <a:avLst/>
                    </a:prstGeom>
                  </pic:spPr>
                </pic:pic>
              </a:graphicData>
            </a:graphic>
          </wp:inline>
        </w:drawing>
      </w:r>
      <w:r w:rsidR="00444B5B" w:rsidRPr="00444B5B">
        <w:rPr>
          <w:noProof/>
          <w:lang w:val="fr-BE"/>
        </w:rPr>
        <w:drawing>
          <wp:inline distT="0" distB="0" distL="0" distR="0" wp14:anchorId="35BD0580" wp14:editId="5F173D03">
            <wp:extent cx="2673350" cy="1135863"/>
            <wp:effectExtent l="0" t="0" r="0" b="7620"/>
            <wp:docPr id="1124922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922366" name=""/>
                    <pic:cNvPicPr/>
                  </pic:nvPicPr>
                  <pic:blipFill>
                    <a:blip r:embed="rId12"/>
                    <a:stretch>
                      <a:fillRect/>
                    </a:stretch>
                  </pic:blipFill>
                  <pic:spPr>
                    <a:xfrm>
                      <a:off x="0" y="0"/>
                      <a:ext cx="2688690" cy="1142381"/>
                    </a:xfrm>
                    <a:prstGeom prst="rect">
                      <a:avLst/>
                    </a:prstGeom>
                  </pic:spPr>
                </pic:pic>
              </a:graphicData>
            </a:graphic>
          </wp:inline>
        </w:drawing>
      </w:r>
    </w:p>
    <w:p w14:paraId="5D1C10E0" w14:textId="77777777" w:rsidR="008D1B9F" w:rsidRPr="008D1B9F" w:rsidRDefault="008D1B9F" w:rsidP="008D1B9F">
      <w:pPr>
        <w:pStyle w:val="HoofdtekstA"/>
        <w:numPr>
          <w:ilvl w:val="0"/>
          <w:numId w:val="8"/>
        </w:numPr>
        <w:rPr>
          <w:lang w:val="fr-BE"/>
        </w:rPr>
      </w:pPr>
      <w:r w:rsidRPr="008D1B9F">
        <w:rPr>
          <w:lang w:val="fr-BE"/>
        </w:rPr>
        <w:t>Le prix médian n'a cessé d'augmenter à Bruxelles et en Flandre au cours des cinq dernières années. En Wallonie, il est toutefois resté plutôt stable par rapport à l'année précédente.</w:t>
      </w:r>
    </w:p>
    <w:p w14:paraId="18C0537E" w14:textId="77777777" w:rsidR="008D1B9F" w:rsidRPr="008D1B9F" w:rsidRDefault="008D1B9F" w:rsidP="006C516B">
      <w:pPr>
        <w:pStyle w:val="HoofdtekstA"/>
        <w:ind w:left="360"/>
        <w:rPr>
          <w:lang w:val="nl-BE"/>
        </w:rPr>
      </w:pPr>
      <w:r w:rsidRPr="008D1B9F">
        <w:rPr>
          <w:lang w:val="fr-BE"/>
        </w:rPr>
        <w:t>Evolution à court terme :</w:t>
      </w:r>
    </w:p>
    <w:p w14:paraId="02A1AAA3" w14:textId="77777777" w:rsidR="008D1B9F" w:rsidRPr="008D1B9F" w:rsidRDefault="008D1B9F" w:rsidP="008D1B9F">
      <w:pPr>
        <w:pStyle w:val="HoofdtekstA"/>
        <w:numPr>
          <w:ilvl w:val="0"/>
          <w:numId w:val="8"/>
        </w:numPr>
        <w:rPr>
          <w:lang w:val="fr-BE"/>
        </w:rPr>
      </w:pPr>
      <w:r w:rsidRPr="008D1B9F">
        <w:rPr>
          <w:lang w:val="fr-BE"/>
        </w:rPr>
        <w:t>En Région bruxelloise, le prix des maisons a augmenté de +1,0% (-1,9% après inflation). Par rapport à 2023, cette augmentation représente +5.000 EUR de plus (-9.850 EUR après inflation).</w:t>
      </w:r>
    </w:p>
    <w:p w14:paraId="0F1BDD60" w14:textId="77777777" w:rsidR="008D1B9F" w:rsidRPr="008D1B9F" w:rsidRDefault="008D1B9F" w:rsidP="008D1B9F">
      <w:pPr>
        <w:pStyle w:val="HoofdtekstA"/>
        <w:numPr>
          <w:ilvl w:val="0"/>
          <w:numId w:val="8"/>
        </w:numPr>
        <w:rPr>
          <w:lang w:val="nl-BE"/>
        </w:rPr>
      </w:pPr>
      <w:r w:rsidRPr="008D1B9F">
        <w:rPr>
          <w:lang w:val="fr-BE"/>
        </w:rPr>
        <w:t xml:space="preserve">Evolution à long terme : </w:t>
      </w:r>
    </w:p>
    <w:p w14:paraId="3B085B28" w14:textId="77777777" w:rsidR="008D1B9F" w:rsidRPr="008D1B9F" w:rsidRDefault="008D1B9F" w:rsidP="008D1B9F">
      <w:pPr>
        <w:pStyle w:val="HoofdtekstA"/>
        <w:numPr>
          <w:ilvl w:val="0"/>
          <w:numId w:val="8"/>
        </w:numPr>
        <w:rPr>
          <w:lang w:val="fr-BE"/>
        </w:rPr>
      </w:pPr>
      <w:r w:rsidRPr="008D1B9F">
        <w:rPr>
          <w:lang w:val="fr-BE"/>
        </w:rPr>
        <w:t>À long terme, c'est en Région bruxelloise que les prix des logements ont proportionnellement le moins augmenté. Par rapport à 5 ans plus tôt, le prix médian y est supérieur de 14,9% (-5,2% après inflation). Cette augmentation représente un prix supplémentaire à payer de 65.000 EUR (-27.655 EUR après inflation).</w:t>
      </w:r>
    </w:p>
    <w:p w14:paraId="18751AC8" w14:textId="65F70DB8" w:rsidR="006E7150" w:rsidRDefault="006E7150" w:rsidP="006C516B">
      <w:pPr>
        <w:pStyle w:val="HoofdtekstA"/>
        <w:rPr>
          <w:lang w:val="fr-BE"/>
        </w:rPr>
      </w:pPr>
    </w:p>
    <w:p w14:paraId="284485C8" w14:textId="27EF3B1A" w:rsidR="00035635" w:rsidRDefault="00035635" w:rsidP="00035635">
      <w:pPr>
        <w:pStyle w:val="HoofdtekstA"/>
        <w:rPr>
          <w:b/>
          <w:bCs/>
          <w:lang w:val="fr-BE"/>
        </w:rPr>
      </w:pPr>
      <w:r>
        <w:rPr>
          <w:b/>
          <w:bCs/>
          <w:lang w:val="fr-BE"/>
        </w:rPr>
        <w:t>Appartements : q</w:t>
      </w:r>
      <w:r w:rsidRPr="00C70C46">
        <w:rPr>
          <w:b/>
          <w:bCs/>
          <w:lang w:val="fr-BE"/>
        </w:rPr>
        <w:t>u’observe-ton</w:t>
      </w:r>
      <w:r w:rsidR="006C516B">
        <w:rPr>
          <w:b/>
          <w:bCs/>
          <w:lang w:val="fr-BE"/>
        </w:rPr>
        <w:t xml:space="preserve"> en 2024</w:t>
      </w:r>
      <w:r w:rsidRPr="00C70C46">
        <w:rPr>
          <w:b/>
          <w:bCs/>
          <w:lang w:val="fr-BE"/>
        </w:rPr>
        <w:t xml:space="preserve"> au niveau d</w:t>
      </w:r>
      <w:r w:rsidR="006C516B">
        <w:rPr>
          <w:b/>
          <w:bCs/>
          <w:lang w:val="fr-BE"/>
        </w:rPr>
        <w:t>e Bruxelles</w:t>
      </w:r>
      <w:r w:rsidRPr="00C70C46">
        <w:rPr>
          <w:b/>
          <w:bCs/>
          <w:lang w:val="fr-BE"/>
        </w:rPr>
        <w:t> ?</w:t>
      </w:r>
    </w:p>
    <w:p w14:paraId="448E2EBC" w14:textId="068EB3E5" w:rsidR="006E7150" w:rsidRDefault="00BF4054" w:rsidP="006E7150">
      <w:pPr>
        <w:pStyle w:val="HoofdtekstA"/>
        <w:rPr>
          <w:b/>
          <w:bCs/>
          <w:lang w:val="fr-BE"/>
        </w:rPr>
      </w:pPr>
      <w:r w:rsidRPr="00BF4054">
        <w:rPr>
          <w:b/>
          <w:bCs/>
          <w:noProof/>
          <w:lang w:val="fr-BE"/>
        </w:rPr>
        <w:drawing>
          <wp:inline distT="0" distB="0" distL="0" distR="0" wp14:anchorId="3149A2D0" wp14:editId="40C70455">
            <wp:extent cx="2842260" cy="1556851"/>
            <wp:effectExtent l="0" t="0" r="0" b="5715"/>
            <wp:docPr id="913246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246235" name=""/>
                    <pic:cNvPicPr/>
                  </pic:nvPicPr>
                  <pic:blipFill>
                    <a:blip r:embed="rId13"/>
                    <a:stretch>
                      <a:fillRect/>
                    </a:stretch>
                  </pic:blipFill>
                  <pic:spPr>
                    <a:xfrm>
                      <a:off x="0" y="0"/>
                      <a:ext cx="2857626" cy="1565268"/>
                    </a:xfrm>
                    <a:prstGeom prst="rect">
                      <a:avLst/>
                    </a:prstGeom>
                  </pic:spPr>
                </pic:pic>
              </a:graphicData>
            </a:graphic>
          </wp:inline>
        </w:drawing>
      </w:r>
      <w:r w:rsidR="00590296" w:rsidRPr="00590296">
        <w:rPr>
          <w:b/>
          <w:bCs/>
          <w:noProof/>
          <w:lang w:val="fr-BE"/>
        </w:rPr>
        <w:drawing>
          <wp:inline distT="0" distB="0" distL="0" distR="0" wp14:anchorId="2B980A52" wp14:editId="44AADE1F">
            <wp:extent cx="2708275" cy="1321432"/>
            <wp:effectExtent l="0" t="0" r="0" b="0"/>
            <wp:docPr id="278723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23274" name=""/>
                    <pic:cNvPicPr/>
                  </pic:nvPicPr>
                  <pic:blipFill>
                    <a:blip r:embed="rId14"/>
                    <a:stretch>
                      <a:fillRect/>
                    </a:stretch>
                  </pic:blipFill>
                  <pic:spPr>
                    <a:xfrm>
                      <a:off x="0" y="0"/>
                      <a:ext cx="2719040" cy="1326685"/>
                    </a:xfrm>
                    <a:prstGeom prst="rect">
                      <a:avLst/>
                    </a:prstGeom>
                  </pic:spPr>
                </pic:pic>
              </a:graphicData>
            </a:graphic>
          </wp:inline>
        </w:drawing>
      </w:r>
    </w:p>
    <w:p w14:paraId="52D2DED4" w14:textId="77777777" w:rsidR="00F54BA6" w:rsidRPr="004A3B43" w:rsidRDefault="00F54BA6" w:rsidP="00F54BA6">
      <w:pPr>
        <w:pStyle w:val="HoofdtekstA"/>
        <w:rPr>
          <w:b/>
          <w:bCs/>
          <w:lang w:val="nl-BE"/>
        </w:rPr>
      </w:pPr>
      <w:r w:rsidRPr="004A3B43">
        <w:rPr>
          <w:b/>
          <w:bCs/>
          <w:lang w:val="fr-FR"/>
        </w:rPr>
        <w:t>Evolution à court terme:</w:t>
      </w:r>
    </w:p>
    <w:p w14:paraId="7EBB41C7" w14:textId="77777777" w:rsidR="00F54BA6" w:rsidRPr="00F54BA6" w:rsidRDefault="00F54BA6" w:rsidP="00F54BA6">
      <w:pPr>
        <w:pStyle w:val="HoofdtekstA"/>
        <w:numPr>
          <w:ilvl w:val="0"/>
          <w:numId w:val="2"/>
        </w:numPr>
        <w:rPr>
          <w:lang w:val="fr-BE"/>
        </w:rPr>
      </w:pPr>
      <w:r w:rsidRPr="00F54BA6">
        <w:rPr>
          <w:lang w:val="fr-FR"/>
        </w:rPr>
        <w:t>Le prix médian des appartements a augmenté en Flandre (+2,3%) et à Bruxelles (+2,6%). En Wallonie, il a légèrement diminué pour la deuxième année consécutive (-2,2%).</w:t>
      </w:r>
    </w:p>
    <w:p w14:paraId="70D77C88" w14:textId="77777777" w:rsidR="00F54BA6" w:rsidRPr="00F54BA6" w:rsidRDefault="00F54BA6" w:rsidP="00F54BA6">
      <w:pPr>
        <w:pStyle w:val="HoofdtekstA"/>
        <w:numPr>
          <w:ilvl w:val="0"/>
          <w:numId w:val="2"/>
        </w:numPr>
        <w:rPr>
          <w:lang w:val="fr-BE"/>
        </w:rPr>
      </w:pPr>
      <w:r w:rsidRPr="00F54BA6">
        <w:rPr>
          <w:lang w:val="fr-FR"/>
        </w:rPr>
        <w:t>À Bruxelles, les appartements sont les 3ème plus chers du pays, après le Brabant flamand et la Flandre occidentale.</w:t>
      </w:r>
    </w:p>
    <w:p w14:paraId="15D15662" w14:textId="77777777" w:rsidR="00F54BA6" w:rsidRPr="00626ADB" w:rsidRDefault="00F54BA6" w:rsidP="00F54BA6">
      <w:pPr>
        <w:pStyle w:val="HoofdtekstA"/>
        <w:numPr>
          <w:ilvl w:val="0"/>
          <w:numId w:val="2"/>
        </w:numPr>
        <w:rPr>
          <w:lang w:val="fr-BE"/>
        </w:rPr>
      </w:pPr>
      <w:r w:rsidRPr="00F54BA6">
        <w:rPr>
          <w:lang w:val="fr-FR"/>
        </w:rPr>
        <w:t xml:space="preserve">Après inflation, le prix médian dans les trois régions diminue par rapport à 2023 : -0,4 % à Bruxelles, -0,7 % en Flandre, et -5,0 % en Wallonie. </w:t>
      </w:r>
    </w:p>
    <w:p w14:paraId="3F083962" w14:textId="77777777" w:rsidR="00626ADB" w:rsidRPr="00F54BA6" w:rsidRDefault="00626ADB" w:rsidP="00626ADB">
      <w:pPr>
        <w:pStyle w:val="HoofdtekstA"/>
        <w:ind w:left="720"/>
        <w:rPr>
          <w:lang w:val="fr-BE"/>
        </w:rPr>
      </w:pPr>
    </w:p>
    <w:p w14:paraId="1AEBB383" w14:textId="77777777" w:rsidR="00F54BA6" w:rsidRPr="004A3B43" w:rsidRDefault="00F54BA6" w:rsidP="00F54BA6">
      <w:pPr>
        <w:pStyle w:val="HoofdtekstA"/>
        <w:rPr>
          <w:b/>
          <w:bCs/>
          <w:lang w:val="nl-BE"/>
        </w:rPr>
      </w:pPr>
      <w:r w:rsidRPr="004A3B43">
        <w:rPr>
          <w:b/>
          <w:bCs/>
          <w:lang w:val="fr-FR"/>
        </w:rPr>
        <w:lastRenderedPageBreak/>
        <w:t>Evolution à long terme:</w:t>
      </w:r>
    </w:p>
    <w:p w14:paraId="5F526E1F" w14:textId="77777777" w:rsidR="00F54BA6" w:rsidRPr="00F54BA6" w:rsidRDefault="00F54BA6" w:rsidP="00F54BA6">
      <w:pPr>
        <w:pStyle w:val="HoofdtekstA"/>
        <w:numPr>
          <w:ilvl w:val="0"/>
          <w:numId w:val="2"/>
        </w:numPr>
        <w:rPr>
          <w:lang w:val="fr-BE"/>
        </w:rPr>
      </w:pPr>
      <w:r w:rsidRPr="00F54BA6">
        <w:rPr>
          <w:lang w:val="fr-FR"/>
        </w:rPr>
        <w:t xml:space="preserve">Augmentation constante en Flandre au cours des 5 dernières années. </w:t>
      </w:r>
    </w:p>
    <w:p w14:paraId="78578AAD" w14:textId="77777777" w:rsidR="00F54BA6" w:rsidRPr="00F54BA6" w:rsidRDefault="00F54BA6" w:rsidP="00F54BA6">
      <w:pPr>
        <w:pStyle w:val="HoofdtekstA"/>
        <w:numPr>
          <w:ilvl w:val="0"/>
          <w:numId w:val="2"/>
        </w:numPr>
        <w:rPr>
          <w:lang w:val="fr-BE"/>
        </w:rPr>
      </w:pPr>
      <w:r w:rsidRPr="00F54BA6">
        <w:rPr>
          <w:lang w:val="fr-FR"/>
        </w:rPr>
        <w:t xml:space="preserve">Sur un horizon de 5 ans, les appartements ont connu la plus forte hausse en Flandre (+16,0%). Après inflation, cette hausse est réduite à -4,4 %, ce qui représente une perte de -11 647 EUR. </w:t>
      </w:r>
    </w:p>
    <w:p w14:paraId="45989E9B" w14:textId="140F9889" w:rsidR="008636C2" w:rsidRPr="008636C2" w:rsidRDefault="00F54BA6" w:rsidP="00244B0D">
      <w:pPr>
        <w:pStyle w:val="HoofdtekstA"/>
        <w:numPr>
          <w:ilvl w:val="0"/>
          <w:numId w:val="2"/>
        </w:numPr>
        <w:rPr>
          <w:lang w:val="fr-BE"/>
        </w:rPr>
      </w:pPr>
      <w:r w:rsidRPr="00F54BA6">
        <w:rPr>
          <w:lang w:val="fr-FR"/>
        </w:rPr>
        <w:t>À Bruxelles, les appartements ont connu une hausse de 14,0% par rapport à 2020. Il faut noter que la part de marché des appartements à Bruxelles est plus élevée que n'importe quelle province (70,3%).</w:t>
      </w:r>
    </w:p>
    <w:p w14:paraId="020F6FEB" w14:textId="407FAC9C" w:rsidR="00F54BA6" w:rsidRPr="00F54BA6" w:rsidRDefault="008636C2" w:rsidP="00244B0D">
      <w:pPr>
        <w:pStyle w:val="HoofdtekstA"/>
        <w:numPr>
          <w:ilvl w:val="0"/>
          <w:numId w:val="2"/>
        </w:numPr>
        <w:rPr>
          <w:lang w:val="nl-BE"/>
        </w:rPr>
      </w:pPr>
      <w:r w:rsidRPr="008636C2">
        <w:rPr>
          <w:lang w:val="fr-BE"/>
        </w:rPr>
        <w:t>En 2024, les prix des appartements sont plus homogènes à travers les différentes provinces de Belgique. La différence de prix médian entre la province la plus chère et la moins chère est de 115 000 EUR. En comparaison, cette différence pour les maisons atteint 325 000 EUR.</w:t>
      </w:r>
    </w:p>
    <w:p w14:paraId="3D2A8AC7" w14:textId="77777777" w:rsidR="00F54BA6" w:rsidRDefault="00F54BA6" w:rsidP="006E7150">
      <w:pPr>
        <w:pStyle w:val="HoofdtekstA"/>
        <w:rPr>
          <w:b/>
          <w:bCs/>
          <w:lang w:val="fr-BE"/>
        </w:rPr>
      </w:pPr>
    </w:p>
    <w:p w14:paraId="791848AC" w14:textId="3E2C1B92" w:rsidR="006E7150" w:rsidRDefault="006E7150" w:rsidP="006E7150">
      <w:pPr>
        <w:pStyle w:val="HoofdtekstA"/>
        <w:rPr>
          <w:b/>
          <w:bCs/>
          <w:lang w:val="fr-BE"/>
        </w:rPr>
      </w:pPr>
      <w:r>
        <w:rPr>
          <w:b/>
          <w:bCs/>
          <w:lang w:val="fr-BE"/>
        </w:rPr>
        <w:t>Maisons et appartements : prix par commune</w:t>
      </w:r>
    </w:p>
    <w:p w14:paraId="55596078" w14:textId="2A55B1D9" w:rsidR="00BF3AF1" w:rsidRDefault="00BF3AF1" w:rsidP="006E7150">
      <w:pPr>
        <w:pStyle w:val="HoofdtekstA"/>
        <w:rPr>
          <w:b/>
          <w:bCs/>
          <w:lang w:val="fr-BE"/>
        </w:rPr>
      </w:pPr>
      <w:r>
        <w:rPr>
          <w:b/>
          <w:bCs/>
          <w:lang w:val="fr-BE"/>
        </w:rPr>
        <w:t>Maisons</w:t>
      </w:r>
      <w:r>
        <w:rPr>
          <w:b/>
          <w:bCs/>
          <w:lang w:val="fr-BE"/>
        </w:rPr>
        <w:tab/>
      </w:r>
      <w:r>
        <w:rPr>
          <w:b/>
          <w:bCs/>
          <w:lang w:val="fr-BE"/>
        </w:rPr>
        <w:tab/>
      </w:r>
      <w:r>
        <w:rPr>
          <w:b/>
          <w:bCs/>
          <w:lang w:val="fr-BE"/>
        </w:rPr>
        <w:tab/>
      </w:r>
      <w:r>
        <w:rPr>
          <w:b/>
          <w:bCs/>
          <w:lang w:val="fr-BE"/>
        </w:rPr>
        <w:tab/>
      </w:r>
      <w:r>
        <w:rPr>
          <w:b/>
          <w:bCs/>
          <w:lang w:val="fr-BE"/>
        </w:rPr>
        <w:tab/>
      </w:r>
      <w:r>
        <w:rPr>
          <w:b/>
          <w:bCs/>
          <w:lang w:val="fr-BE"/>
        </w:rPr>
        <w:tab/>
        <w:t>Appartements</w:t>
      </w:r>
    </w:p>
    <w:p w14:paraId="21505A70" w14:textId="5B14C418" w:rsidR="006E7150" w:rsidRDefault="0010673A" w:rsidP="006E7150">
      <w:pPr>
        <w:pStyle w:val="HoofdtekstA"/>
        <w:rPr>
          <w:b/>
          <w:bCs/>
          <w:lang w:val="fr-BE"/>
        </w:rPr>
      </w:pPr>
      <w:r w:rsidRPr="0010673A">
        <w:rPr>
          <w:rFonts w:asciiTheme="minorHAnsi" w:eastAsiaTheme="minorHAnsi" w:hAnsiTheme="minorHAnsi" w:cstheme="minorBidi"/>
          <w:noProof/>
          <w:color w:val="auto"/>
          <w:kern w:val="2"/>
          <w:lang w:val="en-US" w:eastAsia="en-US"/>
          <w14:textOutline w14:w="0" w14:cap="rnd" w14:cmpd="sng" w14:algn="ctr">
            <w14:noFill/>
            <w14:prstDash w14:val="solid"/>
            <w14:bevel/>
          </w14:textOutline>
          <w14:ligatures w14:val="standardContextual"/>
        </w:rPr>
        <w:drawing>
          <wp:inline distT="0" distB="0" distL="0" distR="0" wp14:anchorId="46B3BC5D" wp14:editId="62C4144D">
            <wp:extent cx="5731510" cy="2599055"/>
            <wp:effectExtent l="0" t="0" r="2540" b="0"/>
            <wp:docPr id="5" name="Picture 4">
              <a:extLst xmlns:a="http://schemas.openxmlformats.org/drawingml/2006/main">
                <a:ext uri="{FF2B5EF4-FFF2-40B4-BE49-F238E27FC236}">
                  <a16:creationId xmlns:a16="http://schemas.microsoft.com/office/drawing/2014/main" id="{C3631E26-5F1E-5685-CE88-1858D4E97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631E26-5F1E-5685-CE88-1858D4E973DC}"/>
                        </a:ext>
                      </a:extLst>
                    </pic:cNvPr>
                    <pic:cNvPicPr>
                      <a:picLocks noChangeAspect="1"/>
                    </pic:cNvPicPr>
                  </pic:nvPicPr>
                  <pic:blipFill>
                    <a:blip r:embed="rId15"/>
                    <a:srcRect l="1173" t="34" r="-115" b="244"/>
                    <a:stretch/>
                  </pic:blipFill>
                  <pic:spPr>
                    <a:xfrm>
                      <a:off x="0" y="0"/>
                      <a:ext cx="5731510" cy="2599055"/>
                    </a:xfrm>
                    <a:prstGeom prst="rect">
                      <a:avLst/>
                    </a:prstGeom>
                  </pic:spPr>
                </pic:pic>
              </a:graphicData>
            </a:graphic>
          </wp:inline>
        </w:drawing>
      </w:r>
      <w:r w:rsidR="006E7150" w:rsidRPr="006E7150">
        <w:rPr>
          <w:rFonts w:asciiTheme="minorHAnsi" w:eastAsiaTheme="minorHAnsi" w:hAnsiTheme="minorHAnsi" w:cstheme="minorBidi"/>
          <w:noProof/>
          <w:color w:val="auto"/>
          <w:kern w:val="2"/>
          <w:lang w:val="nl-BE" w:eastAsia="en-US"/>
          <w14:textOutline w14:w="0" w14:cap="rnd" w14:cmpd="sng" w14:algn="ctr">
            <w14:noFill/>
            <w14:prstDash w14:val="solid"/>
            <w14:bevel/>
          </w14:textOutline>
          <w14:ligatures w14:val="standardContextual"/>
        </w:rPr>
        <w:t xml:space="preserve"> </w:t>
      </w:r>
    </w:p>
    <w:p w14:paraId="79EB4AED" w14:textId="77777777" w:rsidR="0010673A" w:rsidRPr="0010673A" w:rsidRDefault="0010673A" w:rsidP="0010673A">
      <w:pPr>
        <w:pStyle w:val="HoofdtekstA"/>
        <w:numPr>
          <w:ilvl w:val="0"/>
          <w:numId w:val="3"/>
        </w:numPr>
        <w:rPr>
          <w:lang w:val="fr-BE"/>
        </w:rPr>
      </w:pPr>
      <w:r w:rsidRPr="0010673A">
        <w:rPr>
          <w:lang w:val="fr-BE"/>
        </w:rPr>
        <w:t>La carte ci-dessus zoome sur les communes de la Région de Bruxelles-Capitale et indique le prix médian en 2024.</w:t>
      </w:r>
    </w:p>
    <w:p w14:paraId="52A6628E" w14:textId="77777777" w:rsidR="0010673A" w:rsidRPr="0010673A" w:rsidRDefault="0010673A" w:rsidP="0010673A">
      <w:pPr>
        <w:pStyle w:val="HoofdtekstA"/>
        <w:numPr>
          <w:ilvl w:val="0"/>
          <w:numId w:val="3"/>
        </w:numPr>
        <w:rPr>
          <w:lang w:val="fr-BE"/>
        </w:rPr>
      </w:pPr>
      <w:r w:rsidRPr="0010673A">
        <w:rPr>
          <w:lang w:val="fr-FR"/>
        </w:rPr>
        <w:t>Nous analysons les prix médians des 19 communes bruxelloises. Il est observé une augmentation graduelle des prix, allant du moins cher au nord-ouest au plus cher au sud-est.</w:t>
      </w:r>
    </w:p>
    <w:p w14:paraId="541FB02F" w14:textId="77777777" w:rsidR="0010673A" w:rsidRPr="0010673A" w:rsidRDefault="0010673A" w:rsidP="0010673A">
      <w:pPr>
        <w:pStyle w:val="HoofdtekstA"/>
        <w:numPr>
          <w:ilvl w:val="0"/>
          <w:numId w:val="3"/>
        </w:numPr>
        <w:rPr>
          <w:lang w:val="fr-BE"/>
        </w:rPr>
      </w:pPr>
      <w:r w:rsidRPr="0010673A">
        <w:rPr>
          <w:lang w:val="fr-BE"/>
        </w:rPr>
        <w:t>Les communes les moins chères de Bruxelles restent Anderlecht (198.000 EUR) et Molenbeek-Saint-Jean (206.000 EUR).</w:t>
      </w:r>
    </w:p>
    <w:p w14:paraId="5EB6E9AB" w14:textId="77777777" w:rsidR="0010673A" w:rsidRPr="0010673A" w:rsidRDefault="0010673A" w:rsidP="0010673A">
      <w:pPr>
        <w:pStyle w:val="HoofdtekstA"/>
        <w:numPr>
          <w:ilvl w:val="0"/>
          <w:numId w:val="3"/>
        </w:numPr>
        <w:rPr>
          <w:lang w:val="fr-BE"/>
        </w:rPr>
      </w:pPr>
      <w:r w:rsidRPr="0010673A">
        <w:rPr>
          <w:lang w:val="fr-BE"/>
        </w:rPr>
        <w:t>Les communes les plus chères de la Région bruxelloise sont Ixelles (669.250 EUR) et Woluwe-Saint-Pierre (700.000 EUR).</w:t>
      </w:r>
    </w:p>
    <w:p w14:paraId="2A2F22DC" w14:textId="77777777" w:rsidR="0010673A" w:rsidRPr="0010673A" w:rsidRDefault="0010673A" w:rsidP="0010673A">
      <w:pPr>
        <w:pStyle w:val="HoofdtekstA"/>
        <w:numPr>
          <w:ilvl w:val="0"/>
          <w:numId w:val="3"/>
        </w:numPr>
        <w:rPr>
          <w:lang w:val="fr-BE"/>
        </w:rPr>
      </w:pPr>
      <w:r w:rsidRPr="0010673A">
        <w:rPr>
          <w:lang w:val="fr-BE"/>
        </w:rPr>
        <w:t>Elles figurent également en tête du classement national des communes les plus chères pour les maisons.</w:t>
      </w:r>
    </w:p>
    <w:p w14:paraId="6D590E50" w14:textId="77777777" w:rsidR="0010673A" w:rsidRPr="0010673A" w:rsidRDefault="0010673A" w:rsidP="0010673A">
      <w:pPr>
        <w:pStyle w:val="HoofdtekstA"/>
        <w:numPr>
          <w:ilvl w:val="0"/>
          <w:numId w:val="3"/>
        </w:numPr>
        <w:rPr>
          <w:lang w:val="fr-BE"/>
        </w:rPr>
      </w:pPr>
      <w:r w:rsidRPr="0010673A">
        <w:rPr>
          <w:lang w:val="fr-BE"/>
        </w:rPr>
        <w:t>Pour les appartements, nous observons une tendance similaire: ici aussi, les appartements sont les moins chers au nord-ouest, avec comme communes les moins chères Anderlecht (198.000 €) et Molenbeek-Saint-Jean (206.000 EUR).</w:t>
      </w:r>
    </w:p>
    <w:p w14:paraId="7C456301" w14:textId="21249C22" w:rsidR="006E7150" w:rsidRPr="0010673A" w:rsidRDefault="0010673A" w:rsidP="0010673A">
      <w:pPr>
        <w:pStyle w:val="HoofdtekstA"/>
        <w:numPr>
          <w:ilvl w:val="0"/>
          <w:numId w:val="3"/>
        </w:numPr>
        <w:rPr>
          <w:lang w:val="fr-BE"/>
        </w:rPr>
      </w:pPr>
      <w:r w:rsidRPr="0010673A">
        <w:rPr>
          <w:lang w:val="fr-BE"/>
        </w:rPr>
        <w:lastRenderedPageBreak/>
        <w:t>Les communes les plus chères sont également Woluwe-Saint-Pierre (300.250 EUR) et Ixelles (350.000 EUR).</w:t>
      </w:r>
    </w:p>
    <w:p w14:paraId="73053DE8" w14:textId="77777777" w:rsidR="006E7150" w:rsidRPr="006E7150" w:rsidRDefault="006E7150" w:rsidP="00DA5910">
      <w:pPr>
        <w:pStyle w:val="HoofdtekstA"/>
        <w:ind w:left="720"/>
        <w:rPr>
          <w:lang w:val="fr-BE"/>
        </w:rPr>
      </w:pPr>
    </w:p>
    <w:p w14:paraId="7377C0A5" w14:textId="598BDC81" w:rsidR="006E7150" w:rsidRDefault="00035635" w:rsidP="006E7150">
      <w:pPr>
        <w:pStyle w:val="HoofdtekstA"/>
        <w:rPr>
          <w:b/>
          <w:bCs/>
          <w:lang w:val="fr-BE"/>
        </w:rPr>
      </w:pPr>
      <w:r>
        <w:rPr>
          <w:b/>
          <w:bCs/>
          <w:lang w:val="fr-BE"/>
        </w:rPr>
        <w:t xml:space="preserve">Positionnement du </w:t>
      </w:r>
      <w:r w:rsidR="007A6FD5">
        <w:rPr>
          <w:b/>
          <w:bCs/>
          <w:lang w:val="fr-BE"/>
        </w:rPr>
        <w:t>marché immobilier d</w:t>
      </w:r>
      <w:r w:rsidR="0010673A">
        <w:rPr>
          <w:b/>
          <w:bCs/>
          <w:lang w:val="fr-BE"/>
        </w:rPr>
        <w:t>e</w:t>
      </w:r>
      <w:r w:rsidR="008C7014">
        <w:rPr>
          <w:b/>
          <w:bCs/>
          <w:lang w:val="fr-BE"/>
        </w:rPr>
        <w:t>s maisons</w:t>
      </w:r>
      <w:r w:rsidR="0010673A">
        <w:rPr>
          <w:b/>
          <w:bCs/>
          <w:lang w:val="fr-BE"/>
        </w:rPr>
        <w:t xml:space="preserve"> Bruxelles</w:t>
      </w:r>
      <w:r w:rsidR="007A6FD5">
        <w:rPr>
          <w:b/>
          <w:bCs/>
          <w:lang w:val="fr-BE"/>
        </w:rPr>
        <w:t xml:space="preserve"> au sein de la Belgique</w:t>
      </w:r>
      <w:r w:rsidR="00DA5910">
        <w:rPr>
          <w:b/>
          <w:bCs/>
          <w:lang w:val="fr-BE"/>
        </w:rPr>
        <w:t xml:space="preserve"> </w:t>
      </w:r>
    </w:p>
    <w:p w14:paraId="1DD9C5B3" w14:textId="14063ACE" w:rsidR="006E7150" w:rsidRDefault="006E7150" w:rsidP="006E7150">
      <w:pPr>
        <w:pStyle w:val="HoofdtekstA"/>
        <w:rPr>
          <w:b/>
          <w:bCs/>
          <w:lang w:val="fr-BE"/>
        </w:rPr>
      </w:pPr>
      <w:r w:rsidRPr="006E7150">
        <w:rPr>
          <w:b/>
          <w:bCs/>
          <w:noProof/>
          <w:lang w:val="fr-BE"/>
        </w:rPr>
        <w:drawing>
          <wp:inline distT="0" distB="0" distL="0" distR="0" wp14:anchorId="4E0AA044" wp14:editId="04ABFF74">
            <wp:extent cx="4514850" cy="2441500"/>
            <wp:effectExtent l="0" t="0" r="0" b="0"/>
            <wp:docPr id="1912865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865457" name=""/>
                    <pic:cNvPicPr/>
                  </pic:nvPicPr>
                  <pic:blipFill>
                    <a:blip r:embed="rId16"/>
                    <a:stretch>
                      <a:fillRect/>
                    </a:stretch>
                  </pic:blipFill>
                  <pic:spPr>
                    <a:xfrm>
                      <a:off x="0" y="0"/>
                      <a:ext cx="4547788" cy="2459312"/>
                    </a:xfrm>
                    <a:prstGeom prst="rect">
                      <a:avLst/>
                    </a:prstGeom>
                  </pic:spPr>
                </pic:pic>
              </a:graphicData>
            </a:graphic>
          </wp:inline>
        </w:drawing>
      </w:r>
    </w:p>
    <w:p w14:paraId="52F4AD43" w14:textId="5616CAD8" w:rsidR="00AD50F9" w:rsidRPr="00AD50F9" w:rsidRDefault="00AD50F9" w:rsidP="006E7150">
      <w:pPr>
        <w:pStyle w:val="HoofdtekstA"/>
        <w:rPr>
          <w:b/>
          <w:bCs/>
          <w:i/>
          <w:iCs/>
          <w:color w:val="FF0000"/>
          <w:lang w:val="fr-BE"/>
        </w:rPr>
      </w:pPr>
      <w:r w:rsidRPr="00AD50F9">
        <w:rPr>
          <w:b/>
          <w:bCs/>
          <w:i/>
          <w:iCs/>
          <w:color w:val="FF0000"/>
          <w:lang w:val="fr-BE"/>
        </w:rPr>
        <w:t>Vous retrouverez les explications pour interpréter les données IQR en fin de dossier</w:t>
      </w:r>
    </w:p>
    <w:p w14:paraId="242EBB79" w14:textId="77777777" w:rsidR="00AD50F9" w:rsidRDefault="00AD50F9" w:rsidP="006E7150">
      <w:pPr>
        <w:pStyle w:val="HoofdtekstA"/>
        <w:rPr>
          <w:b/>
          <w:bCs/>
          <w:lang w:val="fr-BE"/>
        </w:rPr>
      </w:pPr>
    </w:p>
    <w:p w14:paraId="5C640CAF" w14:textId="5691F4EB" w:rsidR="00FA7FAE" w:rsidRPr="00FA7FAE" w:rsidRDefault="00FA7FAE" w:rsidP="00FA7FAE">
      <w:pPr>
        <w:pStyle w:val="HoofdtekstA"/>
        <w:rPr>
          <w:lang w:val="fr-BE"/>
        </w:rPr>
      </w:pPr>
      <w:r>
        <w:rPr>
          <w:lang w:val="fr-BE"/>
        </w:rPr>
        <w:t>Il</w:t>
      </w:r>
      <w:r w:rsidRPr="00FA7FAE">
        <w:rPr>
          <w:lang w:val="fr-BE"/>
        </w:rPr>
        <w:t xml:space="preserve"> est intéressant de positionner Bruxelles par rapport à la médiane nationale, régionale et par rapport aux autres provinces.</w:t>
      </w:r>
    </w:p>
    <w:p w14:paraId="1FD20F75" w14:textId="77777777" w:rsidR="00FA7FAE" w:rsidRPr="00FA7FAE" w:rsidRDefault="00FA7FAE" w:rsidP="00FA7FAE">
      <w:pPr>
        <w:pStyle w:val="HoofdtekstA"/>
        <w:rPr>
          <w:lang w:val="fr-BE"/>
        </w:rPr>
      </w:pPr>
      <w:r w:rsidRPr="00FA7FAE">
        <w:rPr>
          <w:lang w:val="fr-FR"/>
        </w:rPr>
        <w:t>Dans les pages suivantes se trouvent les médianes et intervalles de prix comprenant 50% des observations par commune.</w:t>
      </w:r>
    </w:p>
    <w:p w14:paraId="0021456B" w14:textId="7E37131C" w:rsidR="00035635" w:rsidRPr="00626ADB" w:rsidRDefault="00FA7FAE" w:rsidP="006E7150">
      <w:pPr>
        <w:pStyle w:val="HoofdtekstA"/>
        <w:rPr>
          <w:lang w:val="fr-BE"/>
        </w:rPr>
      </w:pPr>
      <w:r w:rsidRPr="00FA7FAE">
        <w:rPr>
          <w:lang w:val="fr-FR"/>
        </w:rPr>
        <w:t>Comme on peut le voir sur le graphique ci-dessus, Bruxelles se distingue fortement du marché national. Le prix médian y est plus élevé (500.000 EUR) et il y a une plus grande variation de prix. 50 % du marché se situe dans la fourchette de 365.000 EUR à 680.000 EUR (une différence de 315.000 EUR). En Flandre, cette différence n'est que de 191.000 EUR, en Wallonie de 150.500 EUR.</w:t>
      </w:r>
    </w:p>
    <w:p w14:paraId="2BA23ABC" w14:textId="4399461B" w:rsidR="00CB288F" w:rsidRDefault="00CB288F" w:rsidP="00CB288F">
      <w:pPr>
        <w:pStyle w:val="HoofdtekstA"/>
        <w:rPr>
          <w:b/>
          <w:bCs/>
          <w:lang w:val="fr-BE"/>
        </w:rPr>
      </w:pPr>
      <w:r>
        <w:rPr>
          <w:b/>
          <w:bCs/>
          <w:lang w:val="fr-BE"/>
        </w:rPr>
        <w:t xml:space="preserve">Distribution des prix des </w:t>
      </w:r>
      <w:r>
        <w:rPr>
          <w:b/>
          <w:bCs/>
          <w:lang w:val="fr-BE"/>
        </w:rPr>
        <w:t>maison</w:t>
      </w:r>
      <w:r>
        <w:rPr>
          <w:b/>
          <w:bCs/>
          <w:lang w:val="fr-BE"/>
        </w:rPr>
        <w:t>s des communes bruxelloises</w:t>
      </w:r>
    </w:p>
    <w:p w14:paraId="5B74B574" w14:textId="09B402EF" w:rsidR="00035635" w:rsidRDefault="00F47A1F" w:rsidP="00F47A1F">
      <w:pPr>
        <w:pStyle w:val="HoofdtekstA"/>
        <w:rPr>
          <w:lang w:val="fr-BE"/>
        </w:rPr>
      </w:pPr>
      <w:r w:rsidRPr="00F47A1F">
        <w:rPr>
          <w:noProof/>
          <w:lang w:val="fr-BE"/>
        </w:rPr>
        <w:drawing>
          <wp:inline distT="0" distB="0" distL="0" distR="0" wp14:anchorId="2B2DB7FE" wp14:editId="7D6C57E6">
            <wp:extent cx="4578985" cy="2639029"/>
            <wp:effectExtent l="0" t="0" r="0" b="9525"/>
            <wp:docPr id="123620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1307" name=""/>
                    <pic:cNvPicPr/>
                  </pic:nvPicPr>
                  <pic:blipFill>
                    <a:blip r:embed="rId17"/>
                    <a:stretch>
                      <a:fillRect/>
                    </a:stretch>
                  </pic:blipFill>
                  <pic:spPr>
                    <a:xfrm>
                      <a:off x="0" y="0"/>
                      <a:ext cx="4597315" cy="2649593"/>
                    </a:xfrm>
                    <a:prstGeom prst="rect">
                      <a:avLst/>
                    </a:prstGeom>
                  </pic:spPr>
                </pic:pic>
              </a:graphicData>
            </a:graphic>
          </wp:inline>
        </w:drawing>
      </w:r>
    </w:p>
    <w:p w14:paraId="75B9A538" w14:textId="77777777" w:rsidR="001054A2" w:rsidRPr="001054A2" w:rsidRDefault="001054A2" w:rsidP="001054A2">
      <w:pPr>
        <w:pStyle w:val="HoofdtekstA"/>
        <w:numPr>
          <w:ilvl w:val="0"/>
          <w:numId w:val="12"/>
        </w:numPr>
        <w:rPr>
          <w:lang w:val="fr-BE"/>
        </w:rPr>
      </w:pPr>
      <w:r w:rsidRPr="001054A2">
        <w:rPr>
          <w:lang w:val="fr-BE"/>
        </w:rPr>
        <w:lastRenderedPageBreak/>
        <w:t>De manière générale, plus le prix médian est élevé dans une commune / entité communale, plus l’intervalle comprenant 50% des observations autour de la médiane sera grand. Nous pouvons en déduire que le marché des maisons y est plus hétérogène.</w:t>
      </w:r>
    </w:p>
    <w:p w14:paraId="6E043925" w14:textId="77777777" w:rsidR="001054A2" w:rsidRPr="001054A2" w:rsidRDefault="001054A2" w:rsidP="001054A2">
      <w:pPr>
        <w:pStyle w:val="HoofdtekstA"/>
        <w:numPr>
          <w:ilvl w:val="0"/>
          <w:numId w:val="12"/>
        </w:numPr>
        <w:rPr>
          <w:lang w:val="fr-BE"/>
        </w:rPr>
      </w:pPr>
      <w:r w:rsidRPr="001054A2">
        <w:rPr>
          <w:lang w:val="fr-BE"/>
        </w:rPr>
        <w:t xml:space="preserve">Dans les entités communales de </w:t>
      </w:r>
      <w:r w:rsidRPr="001054A2">
        <w:rPr>
          <w:b/>
          <w:bCs/>
          <w:lang w:val="fr-BE"/>
        </w:rPr>
        <w:t>Anderlecht, Evere, Ganshoren, Jette, Molenbeek-Saint-Jean</w:t>
      </w:r>
      <w:r w:rsidRPr="001054A2">
        <w:rPr>
          <w:lang w:val="fr-BE"/>
        </w:rPr>
        <w:t xml:space="preserve"> et</w:t>
      </w:r>
      <w:r w:rsidRPr="001054A2">
        <w:rPr>
          <w:b/>
          <w:bCs/>
          <w:lang w:val="fr-BE"/>
        </w:rPr>
        <w:t xml:space="preserve"> Saint-Josse-ten-Noode</w:t>
      </w:r>
      <w:r w:rsidRPr="001054A2">
        <w:rPr>
          <w:lang w:val="fr-BE"/>
        </w:rPr>
        <w:t xml:space="preserve">, au moins 75% des maisons sont vendues à un prix inférieur à la médiane de l’arrondissement de Bruxelles-Capitale (500.000 EUR). </w:t>
      </w:r>
    </w:p>
    <w:p w14:paraId="33113E8C" w14:textId="77777777" w:rsidR="001054A2" w:rsidRPr="001054A2" w:rsidRDefault="001054A2" w:rsidP="001054A2">
      <w:pPr>
        <w:pStyle w:val="HoofdtekstA"/>
        <w:numPr>
          <w:ilvl w:val="0"/>
          <w:numId w:val="12"/>
        </w:numPr>
        <w:rPr>
          <w:lang w:val="fr-BE"/>
        </w:rPr>
      </w:pPr>
      <w:r w:rsidRPr="001054A2">
        <w:rPr>
          <w:lang w:val="fr-BE"/>
        </w:rPr>
        <w:t>Dans les entités communales de </w:t>
      </w:r>
      <w:r w:rsidRPr="001054A2">
        <w:rPr>
          <w:b/>
          <w:bCs/>
          <w:lang w:val="fr-BE"/>
        </w:rPr>
        <w:t xml:space="preserve">Ixelles </w:t>
      </w:r>
      <w:r w:rsidRPr="001054A2">
        <w:rPr>
          <w:lang w:val="fr-BE"/>
        </w:rPr>
        <w:t xml:space="preserve">et </w:t>
      </w:r>
      <w:r w:rsidRPr="001054A2">
        <w:rPr>
          <w:b/>
          <w:bCs/>
          <w:lang w:val="fr-BE"/>
        </w:rPr>
        <w:t>Woluwe-Saint-Pierre</w:t>
      </w:r>
      <w:r w:rsidRPr="001054A2">
        <w:rPr>
          <w:lang w:val="fr-BE"/>
        </w:rPr>
        <w:t>, au moins 75% des maisons sont vendues à un prix supérieur à la médiane de l’arrondissement (500.000 EUR).</w:t>
      </w:r>
    </w:p>
    <w:p w14:paraId="37994F4F" w14:textId="77777777" w:rsidR="001054A2" w:rsidRPr="001054A2" w:rsidRDefault="001054A2" w:rsidP="001054A2">
      <w:pPr>
        <w:pStyle w:val="HoofdtekstA"/>
        <w:numPr>
          <w:ilvl w:val="0"/>
          <w:numId w:val="12"/>
        </w:numPr>
        <w:rPr>
          <w:lang w:val="fr-BE"/>
        </w:rPr>
      </w:pPr>
      <w:r w:rsidRPr="001054A2">
        <w:rPr>
          <w:lang w:val="fr-BE"/>
        </w:rPr>
        <w:t xml:space="preserve">L’entité communale de </w:t>
      </w:r>
      <w:r w:rsidRPr="001054A2">
        <w:rPr>
          <w:b/>
          <w:bCs/>
          <w:lang w:val="fr-BE"/>
        </w:rPr>
        <w:t>Woluwe-Saint-Pierre</w:t>
      </w:r>
      <w:r w:rsidRPr="001054A2">
        <w:rPr>
          <w:lang w:val="fr-BE"/>
        </w:rPr>
        <w:t xml:space="preserve"> a la limite supérieure la plus élevée. En 2024, 25% des maisons sont vendues à un prix supérieur à 980.000 EUR.  </w:t>
      </w:r>
    </w:p>
    <w:p w14:paraId="0F846A5C" w14:textId="77777777" w:rsidR="001054A2" w:rsidRDefault="001054A2" w:rsidP="001054A2">
      <w:pPr>
        <w:pStyle w:val="HoofdtekstA"/>
        <w:numPr>
          <w:ilvl w:val="0"/>
          <w:numId w:val="12"/>
        </w:numPr>
        <w:rPr>
          <w:lang w:val="fr-BE"/>
        </w:rPr>
      </w:pPr>
      <w:r w:rsidRPr="001054A2">
        <w:rPr>
          <w:lang w:val="fr-BE"/>
        </w:rPr>
        <w:t xml:space="preserve">La limite inférieure la plus basse se trouve à </w:t>
      </w:r>
      <w:r w:rsidRPr="001054A2">
        <w:rPr>
          <w:b/>
          <w:bCs/>
          <w:lang w:val="fr-BE"/>
        </w:rPr>
        <w:t xml:space="preserve">Anderlecht </w:t>
      </w:r>
      <w:r w:rsidRPr="001054A2">
        <w:rPr>
          <w:lang w:val="fr-BE"/>
        </w:rPr>
        <w:t xml:space="preserve">et à </w:t>
      </w:r>
      <w:r w:rsidRPr="001054A2">
        <w:rPr>
          <w:b/>
          <w:bCs/>
          <w:lang w:val="fr-BE"/>
        </w:rPr>
        <w:t>Molenbeek-Saint-Jean</w:t>
      </w:r>
      <w:r w:rsidRPr="001054A2">
        <w:rPr>
          <w:lang w:val="fr-BE"/>
        </w:rPr>
        <w:t xml:space="preserve">. 25% des maisons vendues en 2024 avaient un prix inférieur à 290.000 EUR. </w:t>
      </w:r>
    </w:p>
    <w:p w14:paraId="7A3F9947" w14:textId="77777777" w:rsidR="002360FD" w:rsidRDefault="002360FD" w:rsidP="002360FD">
      <w:pPr>
        <w:pStyle w:val="HoofdtekstA"/>
        <w:rPr>
          <w:b/>
          <w:bCs/>
          <w:lang w:val="fr-BE"/>
        </w:rPr>
      </w:pPr>
      <w:r>
        <w:rPr>
          <w:b/>
          <w:bCs/>
          <w:lang w:val="fr-BE"/>
        </w:rPr>
        <w:t xml:space="preserve">Positionnement du marché immobilier des maisons Bruxelles au sein de la Belgique </w:t>
      </w:r>
    </w:p>
    <w:p w14:paraId="657F433B" w14:textId="30D94F00" w:rsidR="009F4FFA" w:rsidRDefault="009F4FFA" w:rsidP="002360FD">
      <w:pPr>
        <w:pStyle w:val="HoofdtekstA"/>
        <w:rPr>
          <w:b/>
          <w:bCs/>
          <w:lang w:val="fr-BE"/>
        </w:rPr>
      </w:pPr>
      <w:r w:rsidRPr="009F4FFA">
        <w:rPr>
          <w:b/>
          <w:bCs/>
          <w:lang w:val="fr-BE"/>
        </w:rPr>
        <w:drawing>
          <wp:inline distT="0" distB="0" distL="0" distR="0" wp14:anchorId="1BB889FF" wp14:editId="246E90C5">
            <wp:extent cx="4724400" cy="2403027"/>
            <wp:effectExtent l="0" t="0" r="0" b="0"/>
            <wp:docPr id="968319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19968" name=""/>
                    <pic:cNvPicPr/>
                  </pic:nvPicPr>
                  <pic:blipFill>
                    <a:blip r:embed="rId18"/>
                    <a:stretch>
                      <a:fillRect/>
                    </a:stretch>
                  </pic:blipFill>
                  <pic:spPr>
                    <a:xfrm>
                      <a:off x="0" y="0"/>
                      <a:ext cx="4733262" cy="2407534"/>
                    </a:xfrm>
                    <a:prstGeom prst="rect">
                      <a:avLst/>
                    </a:prstGeom>
                  </pic:spPr>
                </pic:pic>
              </a:graphicData>
            </a:graphic>
          </wp:inline>
        </w:drawing>
      </w:r>
    </w:p>
    <w:p w14:paraId="345E3DF1" w14:textId="77777777" w:rsidR="009F4FFA" w:rsidRPr="009F4FFA" w:rsidRDefault="009F4FFA" w:rsidP="009F4FFA">
      <w:pPr>
        <w:pStyle w:val="HoofdtekstA"/>
        <w:numPr>
          <w:ilvl w:val="0"/>
          <w:numId w:val="14"/>
        </w:numPr>
        <w:rPr>
          <w:lang w:val="fr-BE"/>
        </w:rPr>
      </w:pPr>
      <w:r w:rsidRPr="009F4FFA">
        <w:rPr>
          <w:lang w:val="fr-BE"/>
        </w:rPr>
        <w:t>En 2024, le prix médian d'un appartement en Belgique était de 256.500 EUR. Cependant, cette valeur reprend les trois régions, chacune ayant ses propres caractéristiques distinctes sur le marché des appartements.</w:t>
      </w:r>
    </w:p>
    <w:p w14:paraId="1E7B1574" w14:textId="77777777" w:rsidR="009F4FFA" w:rsidRPr="009F4FFA" w:rsidRDefault="009F4FFA" w:rsidP="009F4FFA">
      <w:pPr>
        <w:pStyle w:val="HoofdtekstA"/>
        <w:numPr>
          <w:ilvl w:val="0"/>
          <w:numId w:val="14"/>
        </w:numPr>
        <w:rPr>
          <w:lang w:val="fr-BE"/>
        </w:rPr>
      </w:pPr>
      <w:r w:rsidRPr="009F4FFA">
        <w:rPr>
          <w:lang w:val="fr-BE"/>
        </w:rPr>
        <w:t>Le marché des appartements à Bruxelles affiche le prix médian le plus élevé (256.500 EUR) mais aussi l'écart de prix le plus large, avec 50 % des appartements achetés dans une fourchette de 200.000 EUR à 350.000 EUR.</w:t>
      </w:r>
    </w:p>
    <w:p w14:paraId="6A560D04" w14:textId="6B04A98F" w:rsidR="009F4FFA" w:rsidRDefault="009F4FFA" w:rsidP="002360FD">
      <w:pPr>
        <w:pStyle w:val="HoofdtekstA"/>
        <w:numPr>
          <w:ilvl w:val="0"/>
          <w:numId w:val="14"/>
        </w:numPr>
        <w:rPr>
          <w:lang w:val="fr-BE"/>
        </w:rPr>
      </w:pPr>
      <w:r w:rsidRPr="009F4FFA">
        <w:rPr>
          <w:lang w:val="fr-BE"/>
        </w:rPr>
        <w:t>Pour les maisons, nous avons observé qu'il y avait une variation assez large des prix médians entre les provinces, allant de 175.000 EUR à 500.000 EUR (écart de 325.000 EUR). En ce qui concerne les appartements, nous remarquons que l'écart des prix médians entre les provinces est moins important, allant de 160.000 EUR à 275.000 EUR (écart de 115.000 EUR).</w:t>
      </w:r>
    </w:p>
    <w:p w14:paraId="1D8D9C93" w14:textId="77777777" w:rsidR="00CB288F" w:rsidRDefault="00CB288F" w:rsidP="00CB288F">
      <w:pPr>
        <w:pStyle w:val="HoofdtekstA"/>
        <w:rPr>
          <w:lang w:val="fr-BE"/>
        </w:rPr>
      </w:pPr>
    </w:p>
    <w:p w14:paraId="45F112D0" w14:textId="77777777" w:rsidR="00CB288F" w:rsidRDefault="00CB288F" w:rsidP="00CB288F">
      <w:pPr>
        <w:pStyle w:val="HoofdtekstA"/>
        <w:rPr>
          <w:lang w:val="fr-BE"/>
        </w:rPr>
      </w:pPr>
    </w:p>
    <w:p w14:paraId="530AAF60" w14:textId="77777777" w:rsidR="00CB288F" w:rsidRPr="00CB288F" w:rsidRDefault="00CB288F" w:rsidP="00CB288F">
      <w:pPr>
        <w:pStyle w:val="HoofdtekstA"/>
        <w:rPr>
          <w:lang w:val="fr-BE"/>
        </w:rPr>
      </w:pPr>
    </w:p>
    <w:p w14:paraId="67D53ADA" w14:textId="77777777" w:rsidR="002360FD" w:rsidRPr="001054A2" w:rsidRDefault="002360FD" w:rsidP="002360FD">
      <w:pPr>
        <w:pStyle w:val="HoofdtekstA"/>
        <w:rPr>
          <w:lang w:val="fr-BE"/>
        </w:rPr>
      </w:pPr>
    </w:p>
    <w:p w14:paraId="62F39137" w14:textId="0C173BA9" w:rsidR="00AD50F9" w:rsidRDefault="00CB288F" w:rsidP="00AD50F9">
      <w:pPr>
        <w:pStyle w:val="HoofdtekstA"/>
        <w:rPr>
          <w:b/>
          <w:bCs/>
          <w:lang w:val="fr-BE"/>
        </w:rPr>
      </w:pPr>
      <w:r>
        <w:rPr>
          <w:b/>
          <w:bCs/>
          <w:lang w:val="fr-BE"/>
        </w:rPr>
        <w:lastRenderedPageBreak/>
        <w:t xml:space="preserve">Distribution des prix des </w:t>
      </w:r>
      <w:r w:rsidR="00AD50F9">
        <w:rPr>
          <w:b/>
          <w:bCs/>
          <w:lang w:val="fr-BE"/>
        </w:rPr>
        <w:t>appartements d</w:t>
      </w:r>
      <w:r>
        <w:rPr>
          <w:b/>
          <w:bCs/>
          <w:lang w:val="fr-BE"/>
        </w:rPr>
        <w:t>es</w:t>
      </w:r>
      <w:r w:rsidR="00AD50F9">
        <w:rPr>
          <w:b/>
          <w:bCs/>
          <w:lang w:val="fr-BE"/>
        </w:rPr>
        <w:t xml:space="preserve"> communes </w:t>
      </w:r>
      <w:r>
        <w:rPr>
          <w:b/>
          <w:bCs/>
          <w:lang w:val="fr-BE"/>
        </w:rPr>
        <w:t>bruxelloises</w:t>
      </w:r>
    </w:p>
    <w:p w14:paraId="3DD50D7F" w14:textId="74A7DEEA" w:rsidR="003D3E57" w:rsidRDefault="003D3E57" w:rsidP="00AD50F9">
      <w:pPr>
        <w:pStyle w:val="HoofdtekstA"/>
        <w:rPr>
          <w:b/>
          <w:bCs/>
          <w:lang w:val="fr-BE"/>
        </w:rPr>
      </w:pPr>
      <w:r w:rsidRPr="003D3E57">
        <w:rPr>
          <w:b/>
          <w:bCs/>
          <w:noProof/>
          <w:lang w:val="fr-BE"/>
        </w:rPr>
        <w:drawing>
          <wp:inline distT="0" distB="0" distL="0" distR="0" wp14:anchorId="671FA526" wp14:editId="676A084E">
            <wp:extent cx="5588000" cy="2716612"/>
            <wp:effectExtent l="0" t="0" r="0" b="7620"/>
            <wp:docPr id="33465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65310" name=""/>
                    <pic:cNvPicPr/>
                  </pic:nvPicPr>
                  <pic:blipFill>
                    <a:blip r:embed="rId19"/>
                    <a:stretch>
                      <a:fillRect/>
                    </a:stretch>
                  </pic:blipFill>
                  <pic:spPr>
                    <a:xfrm>
                      <a:off x="0" y="0"/>
                      <a:ext cx="5598540" cy="2721736"/>
                    </a:xfrm>
                    <a:prstGeom prst="rect">
                      <a:avLst/>
                    </a:prstGeom>
                  </pic:spPr>
                </pic:pic>
              </a:graphicData>
            </a:graphic>
          </wp:inline>
        </w:drawing>
      </w:r>
    </w:p>
    <w:p w14:paraId="21DE659D" w14:textId="77777777" w:rsidR="00DB2FBA" w:rsidRPr="00DB2FBA" w:rsidRDefault="00DB2FBA" w:rsidP="00DB2FBA">
      <w:pPr>
        <w:pStyle w:val="HoofdtekstA"/>
        <w:numPr>
          <w:ilvl w:val="0"/>
          <w:numId w:val="5"/>
        </w:numPr>
        <w:rPr>
          <w:rFonts w:eastAsiaTheme="minorEastAsia"/>
          <w:color w:val="000000" w:themeColor="text1"/>
          <w:kern w:val="24"/>
          <w:sz w:val="20"/>
          <w:szCs w:val="20"/>
          <w:lang w:val="fr-BE"/>
        </w:rPr>
      </w:pPr>
      <w:r w:rsidRPr="00DB2FBA">
        <w:rPr>
          <w:rFonts w:eastAsiaTheme="minorEastAsia"/>
          <w:color w:val="000000" w:themeColor="text1"/>
          <w:kern w:val="24"/>
          <w:sz w:val="20"/>
          <w:szCs w:val="20"/>
          <w:lang w:val="fr-BE"/>
        </w:rPr>
        <w:t>En 2024, le prix médian d'un appartement en Belgique était de 256.500 EUR. Cependant, cette valeur reprend les trois régions, chacune ayant ses propres caractéristiques distinctes sur le marché des appartements.</w:t>
      </w:r>
    </w:p>
    <w:p w14:paraId="6BECF819" w14:textId="77777777" w:rsidR="00DB2FBA" w:rsidRPr="00DB2FBA" w:rsidRDefault="00DB2FBA" w:rsidP="00DB2FBA">
      <w:pPr>
        <w:pStyle w:val="HoofdtekstA"/>
        <w:numPr>
          <w:ilvl w:val="0"/>
          <w:numId w:val="5"/>
        </w:numPr>
        <w:rPr>
          <w:rFonts w:eastAsiaTheme="minorEastAsia"/>
          <w:color w:val="000000" w:themeColor="text1"/>
          <w:kern w:val="24"/>
          <w:sz w:val="20"/>
          <w:szCs w:val="20"/>
          <w:lang w:val="fr-BE"/>
        </w:rPr>
      </w:pPr>
      <w:r w:rsidRPr="00DB2FBA">
        <w:rPr>
          <w:rFonts w:eastAsiaTheme="minorEastAsia"/>
          <w:color w:val="000000" w:themeColor="text1"/>
          <w:kern w:val="24"/>
          <w:sz w:val="20"/>
          <w:szCs w:val="20"/>
          <w:lang w:val="fr-BE"/>
        </w:rPr>
        <w:t xml:space="preserve">Le marché des appartements à </w:t>
      </w:r>
      <w:r w:rsidRPr="00DB2FBA">
        <w:rPr>
          <w:rFonts w:eastAsiaTheme="minorEastAsia"/>
          <w:b/>
          <w:bCs/>
          <w:color w:val="000000" w:themeColor="text1"/>
          <w:kern w:val="24"/>
          <w:sz w:val="20"/>
          <w:szCs w:val="20"/>
          <w:lang w:val="fr-BE"/>
        </w:rPr>
        <w:t xml:space="preserve">Bruxelles </w:t>
      </w:r>
      <w:r w:rsidRPr="00DB2FBA">
        <w:rPr>
          <w:rFonts w:eastAsiaTheme="minorEastAsia"/>
          <w:color w:val="000000" w:themeColor="text1"/>
          <w:kern w:val="24"/>
          <w:sz w:val="20"/>
          <w:szCs w:val="20"/>
          <w:lang w:val="fr-BE"/>
        </w:rPr>
        <w:t>affiche le prix médian le plus élevé (256.500 EUR) mais aussi l'écart de prix le plus large, avec 50 % des appartements achetés dans une fourchette de 200.000 EUR à 350.000 EUR.</w:t>
      </w:r>
    </w:p>
    <w:p w14:paraId="7CF6BC88" w14:textId="77777777" w:rsidR="00DB2FBA" w:rsidRPr="00DB2FBA" w:rsidRDefault="00DB2FBA" w:rsidP="00DB2FBA">
      <w:pPr>
        <w:pStyle w:val="HoofdtekstA"/>
        <w:numPr>
          <w:ilvl w:val="0"/>
          <w:numId w:val="5"/>
        </w:numPr>
        <w:rPr>
          <w:rFonts w:eastAsiaTheme="minorEastAsia"/>
          <w:color w:val="000000" w:themeColor="text1"/>
          <w:kern w:val="24"/>
          <w:sz w:val="20"/>
          <w:szCs w:val="20"/>
          <w:lang w:val="fr-BE"/>
        </w:rPr>
      </w:pPr>
      <w:r w:rsidRPr="00DB2FBA">
        <w:rPr>
          <w:rFonts w:eastAsiaTheme="minorEastAsia"/>
          <w:color w:val="000000" w:themeColor="text1"/>
          <w:kern w:val="24"/>
          <w:sz w:val="20"/>
          <w:szCs w:val="20"/>
          <w:lang w:val="fr-BE"/>
        </w:rPr>
        <w:t xml:space="preserve">En </w:t>
      </w:r>
      <w:r w:rsidRPr="00DB2FBA">
        <w:rPr>
          <w:rFonts w:eastAsiaTheme="minorEastAsia"/>
          <w:b/>
          <w:bCs/>
          <w:color w:val="000000" w:themeColor="text1"/>
          <w:kern w:val="24"/>
          <w:sz w:val="20"/>
          <w:szCs w:val="20"/>
          <w:lang w:val="fr-BE"/>
        </w:rPr>
        <w:t>Wallonie</w:t>
      </w:r>
      <w:r w:rsidRPr="00DB2FBA">
        <w:rPr>
          <w:rFonts w:eastAsiaTheme="minorEastAsia"/>
          <w:color w:val="000000" w:themeColor="text1"/>
          <w:kern w:val="24"/>
          <w:sz w:val="20"/>
          <w:szCs w:val="20"/>
          <w:lang w:val="fr-BE"/>
        </w:rPr>
        <w:t>, bien que le prix médian des appartements soit plus modeste (180.000 EUR), le marché est plus homogène, avec une fourchette de prix plus réduite. En effet, 50 % des appartements y sont achetés dans une fourchette de 135.000 EUR à 249.000 EUR.</w:t>
      </w:r>
    </w:p>
    <w:p w14:paraId="20ABAB83" w14:textId="77777777" w:rsidR="00DB2FBA" w:rsidRPr="00DB2FBA" w:rsidRDefault="00DB2FBA" w:rsidP="00DB2FBA">
      <w:pPr>
        <w:pStyle w:val="HoofdtekstA"/>
        <w:numPr>
          <w:ilvl w:val="0"/>
          <w:numId w:val="5"/>
        </w:numPr>
        <w:rPr>
          <w:rFonts w:eastAsiaTheme="minorEastAsia"/>
          <w:color w:val="000000" w:themeColor="text1"/>
          <w:kern w:val="24"/>
          <w:sz w:val="20"/>
          <w:szCs w:val="20"/>
          <w:lang w:val="fr-BE"/>
        </w:rPr>
      </w:pPr>
      <w:r w:rsidRPr="00DB2FBA">
        <w:rPr>
          <w:rFonts w:eastAsiaTheme="minorEastAsia"/>
          <w:color w:val="000000" w:themeColor="text1"/>
          <w:kern w:val="24"/>
          <w:sz w:val="20"/>
          <w:szCs w:val="20"/>
          <w:lang w:val="fr-BE"/>
        </w:rPr>
        <w:t>Pour les maisons, nous avons observé qu'il y avait une variation assez large des prix médians entre les provinces, allant de 175.000 EUR à 500.000 EUR (écart de 325.000 EUR). En ce qui concerne les appartements, nous remarquons que l'écart des prix médians entre les provinces est moins important, allant de 160.000 EUR à 275.000 EUR (écart de 115.000 EUR).</w:t>
      </w:r>
    </w:p>
    <w:p w14:paraId="74DF8F09" w14:textId="77777777" w:rsidR="00DB2FBA" w:rsidRPr="00DB2FBA" w:rsidRDefault="00DB2FBA" w:rsidP="00DB2FBA">
      <w:pPr>
        <w:pStyle w:val="HoofdtekstA"/>
        <w:numPr>
          <w:ilvl w:val="0"/>
          <w:numId w:val="5"/>
        </w:numPr>
        <w:rPr>
          <w:rFonts w:eastAsiaTheme="minorEastAsia"/>
          <w:color w:val="000000" w:themeColor="text1"/>
          <w:kern w:val="24"/>
          <w:sz w:val="20"/>
          <w:szCs w:val="20"/>
          <w:lang w:val="fr-BE"/>
        </w:rPr>
      </w:pPr>
      <w:r w:rsidRPr="00DB2FBA">
        <w:rPr>
          <w:rFonts w:eastAsiaTheme="minorEastAsia"/>
          <w:color w:val="000000" w:themeColor="text1"/>
          <w:kern w:val="24"/>
          <w:sz w:val="20"/>
          <w:szCs w:val="20"/>
          <w:lang w:val="fr-BE"/>
        </w:rPr>
        <w:t xml:space="preserve">En </w:t>
      </w:r>
      <w:r w:rsidRPr="00DB2FBA">
        <w:rPr>
          <w:rFonts w:eastAsiaTheme="minorEastAsia"/>
          <w:b/>
          <w:bCs/>
          <w:color w:val="000000" w:themeColor="text1"/>
          <w:kern w:val="24"/>
          <w:sz w:val="20"/>
          <w:szCs w:val="20"/>
          <w:lang w:val="fr-BE"/>
        </w:rPr>
        <w:t>Wallonie</w:t>
      </w:r>
      <w:r w:rsidRPr="00DB2FBA">
        <w:rPr>
          <w:rFonts w:eastAsiaTheme="minorEastAsia"/>
          <w:color w:val="000000" w:themeColor="text1"/>
          <w:kern w:val="24"/>
          <w:sz w:val="20"/>
          <w:szCs w:val="20"/>
          <w:lang w:val="fr-BE"/>
        </w:rPr>
        <w:t xml:space="preserve">, cet écart se situe entre 160.000 EUR et 250.000 EUR (90.000 EUR), avec le </w:t>
      </w:r>
      <w:r w:rsidRPr="00DB2FBA">
        <w:rPr>
          <w:rFonts w:eastAsiaTheme="minorEastAsia"/>
          <w:b/>
          <w:bCs/>
          <w:color w:val="000000" w:themeColor="text1"/>
          <w:kern w:val="24"/>
          <w:sz w:val="20"/>
          <w:szCs w:val="20"/>
          <w:lang w:val="fr-BE"/>
        </w:rPr>
        <w:t xml:space="preserve">Hainaut </w:t>
      </w:r>
      <w:r w:rsidRPr="00DB2FBA">
        <w:rPr>
          <w:rFonts w:eastAsiaTheme="minorEastAsia"/>
          <w:color w:val="000000" w:themeColor="text1"/>
          <w:kern w:val="24"/>
          <w:sz w:val="20"/>
          <w:szCs w:val="20"/>
          <w:lang w:val="fr-BE"/>
        </w:rPr>
        <w:t xml:space="preserve">affichant le prix médian le plus bas et le </w:t>
      </w:r>
      <w:r w:rsidRPr="00DB2FBA">
        <w:rPr>
          <w:rFonts w:eastAsiaTheme="minorEastAsia"/>
          <w:b/>
          <w:bCs/>
          <w:color w:val="000000" w:themeColor="text1"/>
          <w:kern w:val="24"/>
          <w:sz w:val="20"/>
          <w:szCs w:val="20"/>
          <w:lang w:val="fr-BE"/>
        </w:rPr>
        <w:t>Brabant wallon</w:t>
      </w:r>
      <w:r w:rsidRPr="00DB2FBA">
        <w:rPr>
          <w:rFonts w:eastAsiaTheme="minorEastAsia"/>
          <w:color w:val="000000" w:themeColor="text1"/>
          <w:kern w:val="24"/>
          <w:sz w:val="20"/>
          <w:szCs w:val="20"/>
          <w:lang w:val="fr-BE"/>
        </w:rPr>
        <w:t xml:space="preserve"> le plus élevé. En </w:t>
      </w:r>
      <w:r w:rsidRPr="00DB2FBA">
        <w:rPr>
          <w:rFonts w:eastAsiaTheme="minorEastAsia"/>
          <w:b/>
          <w:bCs/>
          <w:color w:val="000000" w:themeColor="text1"/>
          <w:kern w:val="24"/>
          <w:sz w:val="20"/>
          <w:szCs w:val="20"/>
          <w:lang w:val="fr-BE"/>
        </w:rPr>
        <w:t>Flandre</w:t>
      </w:r>
      <w:r w:rsidRPr="00DB2FBA">
        <w:rPr>
          <w:rFonts w:eastAsiaTheme="minorEastAsia"/>
          <w:color w:val="000000" w:themeColor="text1"/>
          <w:kern w:val="24"/>
          <w:sz w:val="20"/>
          <w:szCs w:val="20"/>
          <w:lang w:val="fr-BE"/>
        </w:rPr>
        <w:t xml:space="preserve">, les prix sont légèrement plus élevés mais avec un écart plus étroit, allant de 245.000 EUR à 275.000 EUR, avec le prix médian le plus bas dans le </w:t>
      </w:r>
      <w:r w:rsidRPr="00DB2FBA">
        <w:rPr>
          <w:rFonts w:eastAsiaTheme="minorEastAsia"/>
          <w:b/>
          <w:bCs/>
          <w:color w:val="000000" w:themeColor="text1"/>
          <w:kern w:val="24"/>
          <w:sz w:val="20"/>
          <w:szCs w:val="20"/>
          <w:lang w:val="fr-BE"/>
        </w:rPr>
        <w:t xml:space="preserve">Limbourg </w:t>
      </w:r>
      <w:r w:rsidRPr="00DB2FBA">
        <w:rPr>
          <w:rFonts w:eastAsiaTheme="minorEastAsia"/>
          <w:color w:val="000000" w:themeColor="text1"/>
          <w:kern w:val="24"/>
          <w:sz w:val="20"/>
          <w:szCs w:val="20"/>
          <w:lang w:val="fr-BE"/>
        </w:rPr>
        <w:t xml:space="preserve">et le plus élevé dans le </w:t>
      </w:r>
      <w:r w:rsidRPr="00DB2FBA">
        <w:rPr>
          <w:rFonts w:eastAsiaTheme="minorEastAsia"/>
          <w:b/>
          <w:bCs/>
          <w:color w:val="000000" w:themeColor="text1"/>
          <w:kern w:val="24"/>
          <w:sz w:val="20"/>
          <w:szCs w:val="20"/>
          <w:lang w:val="fr-BE"/>
        </w:rPr>
        <w:t>Brabant flamand</w:t>
      </w:r>
      <w:r w:rsidRPr="00DB2FBA">
        <w:rPr>
          <w:rFonts w:eastAsiaTheme="minorEastAsia"/>
          <w:color w:val="000000" w:themeColor="text1"/>
          <w:kern w:val="24"/>
          <w:sz w:val="20"/>
          <w:szCs w:val="20"/>
          <w:lang w:val="fr-BE"/>
        </w:rPr>
        <w:t>.</w:t>
      </w:r>
    </w:p>
    <w:p w14:paraId="291B7B35" w14:textId="77777777" w:rsidR="00D7594D" w:rsidRPr="00D7594D" w:rsidRDefault="00D7594D" w:rsidP="00AD50F9">
      <w:pPr>
        <w:pStyle w:val="HoofdtekstA"/>
        <w:ind w:left="720"/>
        <w:rPr>
          <w:lang w:val="fr-BE"/>
        </w:rPr>
      </w:pPr>
    </w:p>
    <w:p w14:paraId="643D67A9" w14:textId="6EA35CC7" w:rsidR="006E7150" w:rsidRDefault="00CB288F" w:rsidP="006E7150">
      <w:pPr>
        <w:pStyle w:val="HoofdtekstA"/>
        <w:rPr>
          <w:b/>
          <w:bCs/>
          <w:lang w:val="fr-BE"/>
        </w:rPr>
      </w:pPr>
      <w:r>
        <w:rPr>
          <w:b/>
          <w:bCs/>
          <w:lang w:val="fr-BE"/>
        </w:rPr>
        <w:t>Â</w:t>
      </w:r>
      <w:r w:rsidR="00D7594D">
        <w:rPr>
          <w:b/>
          <w:bCs/>
          <w:lang w:val="fr-BE"/>
        </w:rPr>
        <w:t>ge moyen</w:t>
      </w:r>
      <w:r>
        <w:rPr>
          <w:b/>
          <w:bCs/>
          <w:lang w:val="fr-BE"/>
        </w:rPr>
        <w:t xml:space="preserve"> de l’acheteur</w:t>
      </w:r>
    </w:p>
    <w:p w14:paraId="4AD12F42" w14:textId="6230A1E3" w:rsidR="00D7594D" w:rsidRDefault="00D7594D" w:rsidP="006E7150">
      <w:pPr>
        <w:pStyle w:val="HoofdtekstA"/>
        <w:rPr>
          <w:b/>
          <w:bCs/>
          <w:lang w:val="fr-BE"/>
        </w:rPr>
      </w:pPr>
      <w:r w:rsidRPr="00D7594D">
        <w:rPr>
          <w:b/>
          <w:bCs/>
          <w:noProof/>
          <w:lang w:val="fr-BE"/>
        </w:rPr>
        <w:drawing>
          <wp:inline distT="0" distB="0" distL="0" distR="0" wp14:anchorId="1E63A97A" wp14:editId="366A3171">
            <wp:extent cx="2533650" cy="1329703"/>
            <wp:effectExtent l="0" t="0" r="0" b="3810"/>
            <wp:docPr id="926992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358" name=""/>
                    <pic:cNvPicPr/>
                  </pic:nvPicPr>
                  <pic:blipFill>
                    <a:blip r:embed="rId20"/>
                    <a:stretch>
                      <a:fillRect/>
                    </a:stretch>
                  </pic:blipFill>
                  <pic:spPr>
                    <a:xfrm>
                      <a:off x="0" y="0"/>
                      <a:ext cx="2547756" cy="1337106"/>
                    </a:xfrm>
                    <a:prstGeom prst="rect">
                      <a:avLst/>
                    </a:prstGeom>
                  </pic:spPr>
                </pic:pic>
              </a:graphicData>
            </a:graphic>
          </wp:inline>
        </w:drawing>
      </w:r>
      <w:r w:rsidRPr="00D7594D">
        <w:rPr>
          <w:noProof/>
        </w:rPr>
        <w:t xml:space="preserve"> </w:t>
      </w:r>
      <w:r w:rsidRPr="00D7594D">
        <w:rPr>
          <w:b/>
          <w:bCs/>
          <w:noProof/>
          <w:lang w:val="fr-BE"/>
        </w:rPr>
        <w:drawing>
          <wp:inline distT="0" distB="0" distL="0" distR="0" wp14:anchorId="5F953BD5" wp14:editId="61730A18">
            <wp:extent cx="2990850" cy="1343994"/>
            <wp:effectExtent l="0" t="0" r="0" b="8890"/>
            <wp:docPr id="2131650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0835" name=""/>
                    <pic:cNvPicPr/>
                  </pic:nvPicPr>
                  <pic:blipFill>
                    <a:blip r:embed="rId21"/>
                    <a:stretch>
                      <a:fillRect/>
                    </a:stretch>
                  </pic:blipFill>
                  <pic:spPr>
                    <a:xfrm>
                      <a:off x="0" y="0"/>
                      <a:ext cx="3016316" cy="1355438"/>
                    </a:xfrm>
                    <a:prstGeom prst="rect">
                      <a:avLst/>
                    </a:prstGeom>
                  </pic:spPr>
                </pic:pic>
              </a:graphicData>
            </a:graphic>
          </wp:inline>
        </w:drawing>
      </w:r>
    </w:p>
    <w:p w14:paraId="2359031C" w14:textId="49EB8AE0" w:rsidR="00D7594D" w:rsidRPr="00D7594D" w:rsidRDefault="00D7594D" w:rsidP="00D7594D">
      <w:pPr>
        <w:pStyle w:val="HoofdtekstA"/>
        <w:numPr>
          <w:ilvl w:val="0"/>
          <w:numId w:val="6"/>
        </w:numPr>
        <w:rPr>
          <w:lang w:val="fr-BE"/>
        </w:rPr>
      </w:pPr>
      <w:r w:rsidRPr="00D7594D">
        <w:rPr>
          <w:lang w:val="fr-FR"/>
        </w:rPr>
        <w:t>Bien que l'âge moyen soit de 39 ans, le groupe d'âge le plus important des acheteurs se situe entre 26 et 30 ans.</w:t>
      </w:r>
    </w:p>
    <w:p w14:paraId="22BE9FA7" w14:textId="4A14F0F1" w:rsidR="006E7150" w:rsidRDefault="00D7594D" w:rsidP="00D7594D">
      <w:pPr>
        <w:pStyle w:val="HoofdtekstA"/>
        <w:rPr>
          <w:lang w:val="fr-FR"/>
        </w:rPr>
      </w:pPr>
      <w:r w:rsidRPr="00D7594D">
        <w:rPr>
          <w:lang w:val="fr-FR"/>
        </w:rPr>
        <w:lastRenderedPageBreak/>
        <w:t>Pour les tranches d'âge de moins de 50 ans, la distribution entre maison et appartement est similaire et le plus grand segment est à nouveau celui des 26-30 ans. Cependant, les tranches d'âge de plus de 50 ans continuent d'acheter des appartements, tandis que l’achat de maisons diminue</w:t>
      </w:r>
      <w:r w:rsidR="007A6FD5">
        <w:rPr>
          <w:lang w:val="fr-FR"/>
        </w:rPr>
        <w:t>.</w:t>
      </w:r>
    </w:p>
    <w:p w14:paraId="6E16712E" w14:textId="77777777" w:rsidR="007A6FD5" w:rsidRDefault="007A6FD5" w:rsidP="00D7594D">
      <w:pPr>
        <w:pStyle w:val="HoofdtekstA"/>
        <w:rPr>
          <w:lang w:val="fr-FR"/>
        </w:rPr>
      </w:pPr>
    </w:p>
    <w:p w14:paraId="05FF9AAB" w14:textId="517BB2C3" w:rsidR="006E7150" w:rsidRDefault="00D7594D" w:rsidP="006E7150">
      <w:pPr>
        <w:pStyle w:val="HoofdtekstA"/>
        <w:rPr>
          <w:b/>
          <w:bCs/>
          <w:lang w:val="fr-BE"/>
        </w:rPr>
      </w:pPr>
      <w:r>
        <w:rPr>
          <w:b/>
          <w:bCs/>
          <w:lang w:val="fr-BE"/>
        </w:rPr>
        <w:t>Biddit</w:t>
      </w:r>
    </w:p>
    <w:p w14:paraId="226F339F" w14:textId="5E111B45" w:rsidR="00D7594D" w:rsidRDefault="00D7594D" w:rsidP="006E7150">
      <w:pPr>
        <w:pStyle w:val="HoofdtekstA"/>
        <w:rPr>
          <w:b/>
          <w:bCs/>
          <w:lang w:val="fr-BE"/>
        </w:rPr>
      </w:pPr>
      <w:r w:rsidRPr="00D7594D">
        <w:rPr>
          <w:b/>
          <w:bCs/>
          <w:noProof/>
          <w:lang w:val="fr-BE"/>
        </w:rPr>
        <w:drawing>
          <wp:inline distT="0" distB="0" distL="0" distR="0" wp14:anchorId="51500167" wp14:editId="23C76D6F">
            <wp:extent cx="4114800" cy="1928385"/>
            <wp:effectExtent l="0" t="0" r="0" b="0"/>
            <wp:docPr id="65247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470483" name=""/>
                    <pic:cNvPicPr/>
                  </pic:nvPicPr>
                  <pic:blipFill>
                    <a:blip r:embed="rId22"/>
                    <a:stretch>
                      <a:fillRect/>
                    </a:stretch>
                  </pic:blipFill>
                  <pic:spPr>
                    <a:xfrm>
                      <a:off x="0" y="0"/>
                      <a:ext cx="4125871" cy="1933573"/>
                    </a:xfrm>
                    <a:prstGeom prst="rect">
                      <a:avLst/>
                    </a:prstGeom>
                  </pic:spPr>
                </pic:pic>
              </a:graphicData>
            </a:graphic>
          </wp:inline>
        </w:drawing>
      </w:r>
    </w:p>
    <w:p w14:paraId="1154F2D8" w14:textId="77777777" w:rsidR="00D7594D" w:rsidRPr="00D7594D" w:rsidRDefault="00D7594D" w:rsidP="00D7594D">
      <w:pPr>
        <w:pStyle w:val="HoofdtekstA"/>
        <w:numPr>
          <w:ilvl w:val="0"/>
          <w:numId w:val="7"/>
        </w:numPr>
        <w:rPr>
          <w:lang w:val="fr-BE"/>
        </w:rPr>
      </w:pPr>
      <w:r w:rsidRPr="00D7594D">
        <w:rPr>
          <w:lang w:val="fr-BE"/>
        </w:rPr>
        <w:t>En Wallonie et à Bruxelles, le nombre de publications sur Biddit est en baisse, tandis qu'il est en augmentation en Flandre.</w:t>
      </w:r>
    </w:p>
    <w:p w14:paraId="02F50191" w14:textId="77777777" w:rsidR="00D7594D" w:rsidRPr="00D7594D" w:rsidRDefault="00D7594D" w:rsidP="00D7594D">
      <w:pPr>
        <w:pStyle w:val="HoofdtekstA"/>
        <w:numPr>
          <w:ilvl w:val="0"/>
          <w:numId w:val="7"/>
        </w:numPr>
        <w:rPr>
          <w:lang w:val="fr-BE"/>
        </w:rPr>
      </w:pPr>
      <w:r w:rsidRPr="00D7594D">
        <w:rPr>
          <w:lang w:val="fr-BE"/>
        </w:rPr>
        <w:t>Le mois de l'année comptant le plus de visites est juin.</w:t>
      </w:r>
    </w:p>
    <w:p w14:paraId="0C49DAE4" w14:textId="77777777" w:rsidR="00D7594D" w:rsidRPr="00D7594D" w:rsidRDefault="00D7594D" w:rsidP="00D7594D">
      <w:pPr>
        <w:pStyle w:val="HoofdtekstA"/>
        <w:numPr>
          <w:ilvl w:val="0"/>
          <w:numId w:val="7"/>
        </w:numPr>
        <w:rPr>
          <w:lang w:val="fr-BE"/>
        </w:rPr>
      </w:pPr>
      <w:r w:rsidRPr="00D7594D">
        <w:rPr>
          <w:lang w:val="fr-BE"/>
        </w:rPr>
        <w:t xml:space="preserve">En 2024, 95% des études notariales du Brabant Wallon ont utilisé Biddit. </w:t>
      </w:r>
    </w:p>
    <w:p w14:paraId="61CFAE91" w14:textId="2E96822D" w:rsidR="006E7150" w:rsidRDefault="00D7594D" w:rsidP="006E7150">
      <w:pPr>
        <w:pStyle w:val="HoofdtekstA"/>
        <w:rPr>
          <w:b/>
          <w:bCs/>
          <w:lang w:val="fr-BE"/>
        </w:rPr>
      </w:pPr>
      <w:r>
        <w:rPr>
          <w:b/>
          <w:bCs/>
          <w:lang w:val="fr-BE"/>
        </w:rPr>
        <w:t>Explications IQR</w:t>
      </w:r>
    </w:p>
    <w:p w14:paraId="4096BCE1" w14:textId="26CF12C1" w:rsidR="006E7150" w:rsidRDefault="006E7150" w:rsidP="006E7150">
      <w:pPr>
        <w:pStyle w:val="HoofdtekstA"/>
        <w:rPr>
          <w:b/>
          <w:bCs/>
          <w:lang w:val="fr-BE"/>
        </w:rPr>
      </w:pPr>
      <w:r w:rsidRPr="006E7150">
        <w:rPr>
          <w:b/>
          <w:bCs/>
          <w:noProof/>
          <w:lang w:val="fr-BE"/>
        </w:rPr>
        <w:drawing>
          <wp:inline distT="0" distB="0" distL="0" distR="0" wp14:anchorId="710F32F4" wp14:editId="58A376DC">
            <wp:extent cx="5731510" cy="2827020"/>
            <wp:effectExtent l="0" t="0" r="2540" b="0"/>
            <wp:docPr id="993601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01206" name=""/>
                    <pic:cNvPicPr/>
                  </pic:nvPicPr>
                  <pic:blipFill>
                    <a:blip r:embed="rId23"/>
                    <a:stretch>
                      <a:fillRect/>
                    </a:stretch>
                  </pic:blipFill>
                  <pic:spPr>
                    <a:xfrm>
                      <a:off x="0" y="0"/>
                      <a:ext cx="5731510" cy="2827020"/>
                    </a:xfrm>
                    <a:prstGeom prst="rect">
                      <a:avLst/>
                    </a:prstGeom>
                  </pic:spPr>
                </pic:pic>
              </a:graphicData>
            </a:graphic>
          </wp:inline>
        </w:drawing>
      </w:r>
    </w:p>
    <w:p w14:paraId="1A9AC2E0" w14:textId="42A8F9F4" w:rsidR="006E7150" w:rsidRDefault="006E7150" w:rsidP="006E7150">
      <w:pPr>
        <w:pStyle w:val="HoofdtekstA"/>
        <w:rPr>
          <w:b/>
          <w:bCs/>
          <w:lang w:val="fr-BE"/>
        </w:rPr>
      </w:pPr>
      <w:r w:rsidRPr="006E7150">
        <w:rPr>
          <w:b/>
          <w:bCs/>
          <w:noProof/>
          <w:lang w:val="fr-BE"/>
        </w:rPr>
        <w:lastRenderedPageBreak/>
        <w:drawing>
          <wp:inline distT="0" distB="0" distL="0" distR="0" wp14:anchorId="6789DCC8" wp14:editId="670FF5D4">
            <wp:extent cx="5731510" cy="2894965"/>
            <wp:effectExtent l="0" t="0" r="2540" b="635"/>
            <wp:docPr id="1467114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4105" name=""/>
                    <pic:cNvPicPr/>
                  </pic:nvPicPr>
                  <pic:blipFill>
                    <a:blip r:embed="rId24"/>
                    <a:stretch>
                      <a:fillRect/>
                    </a:stretch>
                  </pic:blipFill>
                  <pic:spPr>
                    <a:xfrm>
                      <a:off x="0" y="0"/>
                      <a:ext cx="5731510" cy="2894965"/>
                    </a:xfrm>
                    <a:prstGeom prst="rect">
                      <a:avLst/>
                    </a:prstGeom>
                  </pic:spPr>
                </pic:pic>
              </a:graphicData>
            </a:graphic>
          </wp:inline>
        </w:drawing>
      </w:r>
    </w:p>
    <w:p w14:paraId="04807994" w14:textId="77777777" w:rsidR="00D7594D" w:rsidRDefault="00D7594D" w:rsidP="00D7594D">
      <w:pPr>
        <w:pStyle w:val="HoofdtekstA"/>
        <w:rPr>
          <w:b/>
          <w:bCs/>
          <w:sz w:val="20"/>
          <w:szCs w:val="20"/>
          <w:lang w:val="fr-BE"/>
        </w:rPr>
      </w:pPr>
      <w:r>
        <w:rPr>
          <w:b/>
          <w:bCs/>
          <w:sz w:val="20"/>
          <w:szCs w:val="20"/>
          <w:lang w:val="fr-BE"/>
        </w:rPr>
        <w:t>Une meilleure vision du marché immobilier</w:t>
      </w:r>
      <w:r>
        <w:rPr>
          <w:b/>
          <w:bCs/>
          <w:sz w:val="20"/>
          <w:szCs w:val="20"/>
          <w:lang w:val="fr-BE"/>
        </w:rPr>
        <w:br/>
      </w:r>
      <w:r>
        <w:rPr>
          <w:sz w:val="20"/>
          <w:szCs w:val="20"/>
          <w:lang w:val="fr-BE"/>
        </w:rPr>
        <w:t>Les chiffres diffusés par Fednot via ce Baromètre de l’immobilier sont basés sur l’ensemble des transactions immobilières conclues dans notre pays au cours de l’année écoulée. Les données sont collectées par voie électronique au moment de la signature du contrat de vente et sont complétées par les données de l’acte. De ce fait, le réseau de 1.113 études notariales dispose des données les plus récentes et les plus complètes sur le marché immobilier belge.</w:t>
      </w:r>
    </w:p>
    <w:p w14:paraId="4FC4CE73"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p>
    <w:p w14:paraId="4C30E7A5"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du notariat en Belgique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Chaque année, 3,5 millions de citoyens frappent à la porte des études notariales à des moments importants de leur vie. Ils bénéficient de conseils indépendants et sur-mesure pour vivre ensemble en toute confiance, acheter un logement, créer leur propre entreprise ou préparer un héritage. Pour avoir plus d’informations telles que des FAQ, des modules de calcul et des vidéos sur les moments clés de votre vie : https://www.notaire.be/</w:t>
      </w:r>
    </w:p>
    <w:p w14:paraId="0B3384EE" w14:textId="77777777" w:rsidR="00D7594D" w:rsidRDefault="00D7594D"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 xml:space="preserve">À propos de Fednot: </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Le réseau de 1.113 études notariales compte 1.754 notaires et 9.760 employés. Ensemble, ils traitent plus d’un million d’actes par an. Fednot soutient les citoyens et les entreprises en leur </w:t>
      </w:r>
    </w:p>
    <w:p w14:paraId="527F45B9" w14:textId="77777777" w:rsidR="00D7594D" w:rsidRPr="00A43DD0" w:rsidRDefault="00D7594D" w:rsidP="00D7594D">
      <w:pPr>
        <w:rPr>
          <w:rStyle w:val="Hyperlink"/>
          <w:lang w:val="fr-BE"/>
        </w:rPr>
      </w:pP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 xml:space="preserve">fournissant des conseils juridiques, de la gestion, des solutions IT, des formations et des informations pour le grand public. </w:t>
      </w:r>
      <w:hyperlink r:id="rId25" w:history="1">
        <w:r>
          <w:rPr>
            <w:rStyle w:val="Hyperlink"/>
            <w:rFonts w:asciiTheme="minorHAnsi" w:hAnsiTheme="minorHAnsi" w:cstheme="minorHAnsi"/>
            <w:color w:val="000000"/>
            <w:sz w:val="20"/>
            <w:szCs w:val="20"/>
            <w:lang w:val="fr-BE" w:eastAsia="nl-BE"/>
            <w14:textOutline w14:w="12700" w14:cap="flat" w14:cmpd="sng" w14:algn="ctr">
              <w14:noFill/>
              <w14:prstDash w14:val="solid"/>
              <w14:miter w14:lim="100000"/>
            </w14:textOutline>
          </w:rPr>
          <w:t>www.fednot.be</w:t>
        </w:r>
      </w:hyperlink>
    </w:p>
    <w:p w14:paraId="77A2AAF0" w14:textId="77777777" w:rsidR="00D7594D" w:rsidRPr="00A43DD0" w:rsidRDefault="00D7594D" w:rsidP="00D7594D">
      <w:pPr>
        <w:rPr>
          <w:lang w:val="fr-BE"/>
        </w:rPr>
      </w:pPr>
    </w:p>
    <w:p w14:paraId="3684A622" w14:textId="77777777" w:rsidR="00D7594D" w:rsidRDefault="00D7594D" w:rsidP="00D7594D">
      <w:pP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pP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t>Point de contact presse</w:t>
      </w:r>
      <w:r>
        <w:rPr>
          <w:rFonts w:asciiTheme="minorHAnsi" w:hAnsiTheme="minorHAnsi" w:cstheme="minorHAnsi"/>
          <w:b/>
          <w:bCs/>
          <w:color w:val="000000"/>
          <w:sz w:val="20"/>
          <w:szCs w:val="20"/>
          <w:lang w:val="fr-BE" w:eastAsia="nl-BE"/>
          <w14:textOutline w14:w="12700" w14:cap="flat" w14:cmpd="sng" w14:algn="ctr">
            <w14:noFill/>
            <w14:prstDash w14:val="solid"/>
            <w14:miter w14:lim="100000"/>
          </w14:textOutline>
        </w:rPr>
        <w:br/>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t>Basile Vellut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Communication externe Fednot</w:t>
      </w:r>
      <w: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t>0476/28.13.89</w:t>
      </w:r>
    </w:p>
    <w:p w14:paraId="19E64464" w14:textId="77777777" w:rsidR="00D7594D" w:rsidRDefault="00CB288F" w:rsidP="00D7594D">
      <w:pPr>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pPr>
      <w:hyperlink r:id="rId26" w:history="1">
        <w:r w:rsidR="00D7594D">
          <w:rPr>
            <w:rStyle w:val="Hyperlink"/>
            <w:rFonts w:asciiTheme="minorHAnsi" w:hAnsiTheme="minorHAnsi" w:cstheme="minorHAnsi"/>
            <w:color w:val="000000"/>
            <w:sz w:val="20"/>
            <w:szCs w:val="20"/>
            <w:lang w:eastAsia="nl-BE"/>
            <w14:textOutline w14:w="12700" w14:cap="flat" w14:cmpd="sng" w14:algn="ctr">
              <w14:noFill/>
              <w14:prstDash w14:val="solid"/>
              <w14:miter w14:lim="100000"/>
            </w14:textOutline>
          </w:rPr>
          <w:t>basile.vellut@fednot.be</w:t>
        </w:r>
      </w:hyperlink>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t xml:space="preserve"> </w:t>
      </w:r>
      <w:r w:rsidR="00D7594D">
        <w:rPr>
          <w:rFonts w:asciiTheme="minorHAnsi" w:hAnsiTheme="minorHAnsi" w:cstheme="minorHAnsi"/>
          <w:color w:val="000000"/>
          <w:sz w:val="20"/>
          <w:szCs w:val="20"/>
          <w:lang w:eastAsia="nl-BE"/>
          <w14:textOutline w14:w="12700" w14:cap="flat" w14:cmpd="sng" w14:algn="ctr">
            <w14:noFill/>
            <w14:prstDash w14:val="solid"/>
            <w14:miter w14:lim="100000"/>
          </w14:textOutline>
        </w:rPr>
        <w:br/>
      </w:r>
      <w:r w:rsidR="00D7594D">
        <w:rPr>
          <w:rFonts w:asciiTheme="minorHAnsi" w:hAnsiTheme="minorHAnsi" w:cstheme="minorHAnsi"/>
          <w:color w:val="000000"/>
          <w:sz w:val="20"/>
          <w:szCs w:val="20"/>
          <w:lang w:val="fr-BE" w:eastAsia="nl-BE"/>
          <w14:textOutline w14:w="12700" w14:cap="flat" w14:cmpd="sng" w14:algn="ctr">
            <w14:noFill/>
            <w14:prstDash w14:val="solid"/>
            <w14:miter w14:lim="100000"/>
          </w14:textOutline>
        </w:rPr>
        <w:br/>
      </w:r>
    </w:p>
    <w:p w14:paraId="31DA623B" w14:textId="77777777" w:rsidR="00D7594D" w:rsidRDefault="00D7594D" w:rsidP="00D7594D">
      <w:pPr>
        <w:rPr>
          <w:rFonts w:asciiTheme="minorHAnsi" w:hAnsiTheme="minorHAnsi" w:cstheme="minorHAnsi"/>
          <w:sz w:val="20"/>
          <w:szCs w:val="20"/>
        </w:rPr>
      </w:pPr>
    </w:p>
    <w:p w14:paraId="21F74A3A" w14:textId="77777777" w:rsidR="00D7594D" w:rsidRDefault="00D7594D" w:rsidP="00D7594D"/>
    <w:p w14:paraId="7CC044E8" w14:textId="77777777" w:rsidR="006E7150" w:rsidRPr="006E7150" w:rsidRDefault="006E7150" w:rsidP="006E7150">
      <w:pPr>
        <w:pStyle w:val="HoofdtekstA"/>
        <w:rPr>
          <w:lang w:val="fr-FR"/>
        </w:rPr>
      </w:pPr>
    </w:p>
    <w:p w14:paraId="1D4E2C38" w14:textId="77777777" w:rsidR="00C70C46" w:rsidRDefault="00C70C46" w:rsidP="00C70C46">
      <w:pPr>
        <w:pStyle w:val="HoofdtekstA"/>
        <w:rPr>
          <w:lang w:val="fr-BE"/>
        </w:rPr>
      </w:pPr>
    </w:p>
    <w:sectPr w:rsidR="00C70C4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F1023"/>
    <w:multiLevelType w:val="hybridMultilevel"/>
    <w:tmpl w:val="9EE8CB7C"/>
    <w:lvl w:ilvl="0" w:tplc="D1289C0A">
      <w:start w:val="1"/>
      <w:numFmt w:val="bullet"/>
      <w:lvlText w:val="•"/>
      <w:lvlJc w:val="left"/>
      <w:pPr>
        <w:tabs>
          <w:tab w:val="num" w:pos="720"/>
        </w:tabs>
        <w:ind w:left="720" w:hanging="360"/>
      </w:pPr>
      <w:rPr>
        <w:rFonts w:ascii="Arial" w:hAnsi="Arial" w:hint="default"/>
      </w:rPr>
    </w:lvl>
    <w:lvl w:ilvl="1" w:tplc="BAEEF5DE">
      <w:start w:val="1"/>
      <w:numFmt w:val="bullet"/>
      <w:lvlText w:val="•"/>
      <w:lvlJc w:val="left"/>
      <w:pPr>
        <w:tabs>
          <w:tab w:val="num" w:pos="1440"/>
        </w:tabs>
        <w:ind w:left="1440" w:hanging="360"/>
      </w:pPr>
      <w:rPr>
        <w:rFonts w:ascii="Arial" w:hAnsi="Arial" w:hint="default"/>
      </w:rPr>
    </w:lvl>
    <w:lvl w:ilvl="2" w:tplc="F62483BE" w:tentative="1">
      <w:start w:val="1"/>
      <w:numFmt w:val="bullet"/>
      <w:lvlText w:val="•"/>
      <w:lvlJc w:val="left"/>
      <w:pPr>
        <w:tabs>
          <w:tab w:val="num" w:pos="2160"/>
        </w:tabs>
        <w:ind w:left="2160" w:hanging="360"/>
      </w:pPr>
      <w:rPr>
        <w:rFonts w:ascii="Arial" w:hAnsi="Arial" w:hint="default"/>
      </w:rPr>
    </w:lvl>
    <w:lvl w:ilvl="3" w:tplc="B3AEBB60" w:tentative="1">
      <w:start w:val="1"/>
      <w:numFmt w:val="bullet"/>
      <w:lvlText w:val="•"/>
      <w:lvlJc w:val="left"/>
      <w:pPr>
        <w:tabs>
          <w:tab w:val="num" w:pos="2880"/>
        </w:tabs>
        <w:ind w:left="2880" w:hanging="360"/>
      </w:pPr>
      <w:rPr>
        <w:rFonts w:ascii="Arial" w:hAnsi="Arial" w:hint="default"/>
      </w:rPr>
    </w:lvl>
    <w:lvl w:ilvl="4" w:tplc="00948912" w:tentative="1">
      <w:start w:val="1"/>
      <w:numFmt w:val="bullet"/>
      <w:lvlText w:val="•"/>
      <w:lvlJc w:val="left"/>
      <w:pPr>
        <w:tabs>
          <w:tab w:val="num" w:pos="3600"/>
        </w:tabs>
        <w:ind w:left="3600" w:hanging="360"/>
      </w:pPr>
      <w:rPr>
        <w:rFonts w:ascii="Arial" w:hAnsi="Arial" w:hint="default"/>
      </w:rPr>
    </w:lvl>
    <w:lvl w:ilvl="5" w:tplc="142651AA" w:tentative="1">
      <w:start w:val="1"/>
      <w:numFmt w:val="bullet"/>
      <w:lvlText w:val="•"/>
      <w:lvlJc w:val="left"/>
      <w:pPr>
        <w:tabs>
          <w:tab w:val="num" w:pos="4320"/>
        </w:tabs>
        <w:ind w:left="4320" w:hanging="360"/>
      </w:pPr>
      <w:rPr>
        <w:rFonts w:ascii="Arial" w:hAnsi="Arial" w:hint="default"/>
      </w:rPr>
    </w:lvl>
    <w:lvl w:ilvl="6" w:tplc="45E85E2A" w:tentative="1">
      <w:start w:val="1"/>
      <w:numFmt w:val="bullet"/>
      <w:lvlText w:val="•"/>
      <w:lvlJc w:val="left"/>
      <w:pPr>
        <w:tabs>
          <w:tab w:val="num" w:pos="5040"/>
        </w:tabs>
        <w:ind w:left="5040" w:hanging="360"/>
      </w:pPr>
      <w:rPr>
        <w:rFonts w:ascii="Arial" w:hAnsi="Arial" w:hint="default"/>
      </w:rPr>
    </w:lvl>
    <w:lvl w:ilvl="7" w:tplc="D7022594" w:tentative="1">
      <w:start w:val="1"/>
      <w:numFmt w:val="bullet"/>
      <w:lvlText w:val="•"/>
      <w:lvlJc w:val="left"/>
      <w:pPr>
        <w:tabs>
          <w:tab w:val="num" w:pos="5760"/>
        </w:tabs>
        <w:ind w:left="5760" w:hanging="360"/>
      </w:pPr>
      <w:rPr>
        <w:rFonts w:ascii="Arial" w:hAnsi="Arial" w:hint="default"/>
      </w:rPr>
    </w:lvl>
    <w:lvl w:ilvl="8" w:tplc="0B9EEB1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8F562A"/>
    <w:multiLevelType w:val="hybridMultilevel"/>
    <w:tmpl w:val="B9A21210"/>
    <w:lvl w:ilvl="0" w:tplc="6EFC47D8">
      <w:start w:val="1"/>
      <w:numFmt w:val="bullet"/>
      <w:lvlText w:val="•"/>
      <w:lvlJc w:val="left"/>
      <w:pPr>
        <w:tabs>
          <w:tab w:val="num" w:pos="720"/>
        </w:tabs>
        <w:ind w:left="720" w:hanging="360"/>
      </w:pPr>
      <w:rPr>
        <w:rFonts w:ascii="Arial" w:hAnsi="Arial" w:hint="default"/>
      </w:rPr>
    </w:lvl>
    <w:lvl w:ilvl="1" w:tplc="A432B630" w:tentative="1">
      <w:start w:val="1"/>
      <w:numFmt w:val="bullet"/>
      <w:lvlText w:val="•"/>
      <w:lvlJc w:val="left"/>
      <w:pPr>
        <w:tabs>
          <w:tab w:val="num" w:pos="1440"/>
        </w:tabs>
        <w:ind w:left="1440" w:hanging="360"/>
      </w:pPr>
      <w:rPr>
        <w:rFonts w:ascii="Arial" w:hAnsi="Arial" w:hint="default"/>
      </w:rPr>
    </w:lvl>
    <w:lvl w:ilvl="2" w:tplc="E536F80A" w:tentative="1">
      <w:start w:val="1"/>
      <w:numFmt w:val="bullet"/>
      <w:lvlText w:val="•"/>
      <w:lvlJc w:val="left"/>
      <w:pPr>
        <w:tabs>
          <w:tab w:val="num" w:pos="2160"/>
        </w:tabs>
        <w:ind w:left="2160" w:hanging="360"/>
      </w:pPr>
      <w:rPr>
        <w:rFonts w:ascii="Arial" w:hAnsi="Arial" w:hint="default"/>
      </w:rPr>
    </w:lvl>
    <w:lvl w:ilvl="3" w:tplc="34EA72EA" w:tentative="1">
      <w:start w:val="1"/>
      <w:numFmt w:val="bullet"/>
      <w:lvlText w:val="•"/>
      <w:lvlJc w:val="left"/>
      <w:pPr>
        <w:tabs>
          <w:tab w:val="num" w:pos="2880"/>
        </w:tabs>
        <w:ind w:left="2880" w:hanging="360"/>
      </w:pPr>
      <w:rPr>
        <w:rFonts w:ascii="Arial" w:hAnsi="Arial" w:hint="default"/>
      </w:rPr>
    </w:lvl>
    <w:lvl w:ilvl="4" w:tplc="132024F2" w:tentative="1">
      <w:start w:val="1"/>
      <w:numFmt w:val="bullet"/>
      <w:lvlText w:val="•"/>
      <w:lvlJc w:val="left"/>
      <w:pPr>
        <w:tabs>
          <w:tab w:val="num" w:pos="3600"/>
        </w:tabs>
        <w:ind w:left="3600" w:hanging="360"/>
      </w:pPr>
      <w:rPr>
        <w:rFonts w:ascii="Arial" w:hAnsi="Arial" w:hint="default"/>
      </w:rPr>
    </w:lvl>
    <w:lvl w:ilvl="5" w:tplc="B7E44B14" w:tentative="1">
      <w:start w:val="1"/>
      <w:numFmt w:val="bullet"/>
      <w:lvlText w:val="•"/>
      <w:lvlJc w:val="left"/>
      <w:pPr>
        <w:tabs>
          <w:tab w:val="num" w:pos="4320"/>
        </w:tabs>
        <w:ind w:left="4320" w:hanging="360"/>
      </w:pPr>
      <w:rPr>
        <w:rFonts w:ascii="Arial" w:hAnsi="Arial" w:hint="default"/>
      </w:rPr>
    </w:lvl>
    <w:lvl w:ilvl="6" w:tplc="CCC8B546" w:tentative="1">
      <w:start w:val="1"/>
      <w:numFmt w:val="bullet"/>
      <w:lvlText w:val="•"/>
      <w:lvlJc w:val="left"/>
      <w:pPr>
        <w:tabs>
          <w:tab w:val="num" w:pos="5040"/>
        </w:tabs>
        <w:ind w:left="5040" w:hanging="360"/>
      </w:pPr>
      <w:rPr>
        <w:rFonts w:ascii="Arial" w:hAnsi="Arial" w:hint="default"/>
      </w:rPr>
    </w:lvl>
    <w:lvl w:ilvl="7" w:tplc="D4A0A5D6" w:tentative="1">
      <w:start w:val="1"/>
      <w:numFmt w:val="bullet"/>
      <w:lvlText w:val="•"/>
      <w:lvlJc w:val="left"/>
      <w:pPr>
        <w:tabs>
          <w:tab w:val="num" w:pos="5760"/>
        </w:tabs>
        <w:ind w:left="5760" w:hanging="360"/>
      </w:pPr>
      <w:rPr>
        <w:rFonts w:ascii="Arial" w:hAnsi="Arial" w:hint="default"/>
      </w:rPr>
    </w:lvl>
    <w:lvl w:ilvl="8" w:tplc="941C83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A247AEF"/>
    <w:multiLevelType w:val="hybridMultilevel"/>
    <w:tmpl w:val="E4AC1C14"/>
    <w:lvl w:ilvl="0" w:tplc="B1BE5CF6">
      <w:start w:val="1"/>
      <w:numFmt w:val="bullet"/>
      <w:lvlText w:val="•"/>
      <w:lvlJc w:val="left"/>
      <w:pPr>
        <w:tabs>
          <w:tab w:val="num" w:pos="720"/>
        </w:tabs>
        <w:ind w:left="720" w:hanging="360"/>
      </w:pPr>
      <w:rPr>
        <w:rFonts w:ascii="Arial" w:hAnsi="Arial" w:hint="default"/>
      </w:rPr>
    </w:lvl>
    <w:lvl w:ilvl="1" w:tplc="B0EAB6BA" w:tentative="1">
      <w:start w:val="1"/>
      <w:numFmt w:val="bullet"/>
      <w:lvlText w:val="•"/>
      <w:lvlJc w:val="left"/>
      <w:pPr>
        <w:tabs>
          <w:tab w:val="num" w:pos="1440"/>
        </w:tabs>
        <w:ind w:left="1440" w:hanging="360"/>
      </w:pPr>
      <w:rPr>
        <w:rFonts w:ascii="Arial" w:hAnsi="Arial" w:hint="default"/>
      </w:rPr>
    </w:lvl>
    <w:lvl w:ilvl="2" w:tplc="7A126296" w:tentative="1">
      <w:start w:val="1"/>
      <w:numFmt w:val="bullet"/>
      <w:lvlText w:val="•"/>
      <w:lvlJc w:val="left"/>
      <w:pPr>
        <w:tabs>
          <w:tab w:val="num" w:pos="2160"/>
        </w:tabs>
        <w:ind w:left="2160" w:hanging="360"/>
      </w:pPr>
      <w:rPr>
        <w:rFonts w:ascii="Arial" w:hAnsi="Arial" w:hint="default"/>
      </w:rPr>
    </w:lvl>
    <w:lvl w:ilvl="3" w:tplc="7284BA92" w:tentative="1">
      <w:start w:val="1"/>
      <w:numFmt w:val="bullet"/>
      <w:lvlText w:val="•"/>
      <w:lvlJc w:val="left"/>
      <w:pPr>
        <w:tabs>
          <w:tab w:val="num" w:pos="2880"/>
        </w:tabs>
        <w:ind w:left="2880" w:hanging="360"/>
      </w:pPr>
      <w:rPr>
        <w:rFonts w:ascii="Arial" w:hAnsi="Arial" w:hint="default"/>
      </w:rPr>
    </w:lvl>
    <w:lvl w:ilvl="4" w:tplc="161ECBD6" w:tentative="1">
      <w:start w:val="1"/>
      <w:numFmt w:val="bullet"/>
      <w:lvlText w:val="•"/>
      <w:lvlJc w:val="left"/>
      <w:pPr>
        <w:tabs>
          <w:tab w:val="num" w:pos="3600"/>
        </w:tabs>
        <w:ind w:left="3600" w:hanging="360"/>
      </w:pPr>
      <w:rPr>
        <w:rFonts w:ascii="Arial" w:hAnsi="Arial" w:hint="default"/>
      </w:rPr>
    </w:lvl>
    <w:lvl w:ilvl="5" w:tplc="71E4C56E" w:tentative="1">
      <w:start w:val="1"/>
      <w:numFmt w:val="bullet"/>
      <w:lvlText w:val="•"/>
      <w:lvlJc w:val="left"/>
      <w:pPr>
        <w:tabs>
          <w:tab w:val="num" w:pos="4320"/>
        </w:tabs>
        <w:ind w:left="4320" w:hanging="360"/>
      </w:pPr>
      <w:rPr>
        <w:rFonts w:ascii="Arial" w:hAnsi="Arial" w:hint="default"/>
      </w:rPr>
    </w:lvl>
    <w:lvl w:ilvl="6" w:tplc="941EDA30" w:tentative="1">
      <w:start w:val="1"/>
      <w:numFmt w:val="bullet"/>
      <w:lvlText w:val="•"/>
      <w:lvlJc w:val="left"/>
      <w:pPr>
        <w:tabs>
          <w:tab w:val="num" w:pos="5040"/>
        </w:tabs>
        <w:ind w:left="5040" w:hanging="360"/>
      </w:pPr>
      <w:rPr>
        <w:rFonts w:ascii="Arial" w:hAnsi="Arial" w:hint="default"/>
      </w:rPr>
    </w:lvl>
    <w:lvl w:ilvl="7" w:tplc="E45880E6" w:tentative="1">
      <w:start w:val="1"/>
      <w:numFmt w:val="bullet"/>
      <w:lvlText w:val="•"/>
      <w:lvlJc w:val="left"/>
      <w:pPr>
        <w:tabs>
          <w:tab w:val="num" w:pos="5760"/>
        </w:tabs>
        <w:ind w:left="5760" w:hanging="360"/>
      </w:pPr>
      <w:rPr>
        <w:rFonts w:ascii="Arial" w:hAnsi="Arial" w:hint="default"/>
      </w:rPr>
    </w:lvl>
    <w:lvl w:ilvl="8" w:tplc="832A56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0F28AB"/>
    <w:multiLevelType w:val="hybridMultilevel"/>
    <w:tmpl w:val="E802116C"/>
    <w:lvl w:ilvl="0" w:tplc="C0ECBB1A">
      <w:start w:val="1"/>
      <w:numFmt w:val="bullet"/>
      <w:lvlText w:val="•"/>
      <w:lvlJc w:val="left"/>
      <w:pPr>
        <w:tabs>
          <w:tab w:val="num" w:pos="720"/>
        </w:tabs>
        <w:ind w:left="720" w:hanging="360"/>
      </w:pPr>
      <w:rPr>
        <w:rFonts w:ascii="Arial" w:hAnsi="Arial" w:hint="default"/>
      </w:rPr>
    </w:lvl>
    <w:lvl w:ilvl="1" w:tplc="650CFFDA" w:tentative="1">
      <w:start w:val="1"/>
      <w:numFmt w:val="bullet"/>
      <w:lvlText w:val="•"/>
      <w:lvlJc w:val="left"/>
      <w:pPr>
        <w:tabs>
          <w:tab w:val="num" w:pos="1440"/>
        </w:tabs>
        <w:ind w:left="1440" w:hanging="360"/>
      </w:pPr>
      <w:rPr>
        <w:rFonts w:ascii="Arial" w:hAnsi="Arial" w:hint="default"/>
      </w:rPr>
    </w:lvl>
    <w:lvl w:ilvl="2" w:tplc="07D6E5C2" w:tentative="1">
      <w:start w:val="1"/>
      <w:numFmt w:val="bullet"/>
      <w:lvlText w:val="•"/>
      <w:lvlJc w:val="left"/>
      <w:pPr>
        <w:tabs>
          <w:tab w:val="num" w:pos="2160"/>
        </w:tabs>
        <w:ind w:left="2160" w:hanging="360"/>
      </w:pPr>
      <w:rPr>
        <w:rFonts w:ascii="Arial" w:hAnsi="Arial" w:hint="default"/>
      </w:rPr>
    </w:lvl>
    <w:lvl w:ilvl="3" w:tplc="CE4E0EB0" w:tentative="1">
      <w:start w:val="1"/>
      <w:numFmt w:val="bullet"/>
      <w:lvlText w:val="•"/>
      <w:lvlJc w:val="left"/>
      <w:pPr>
        <w:tabs>
          <w:tab w:val="num" w:pos="2880"/>
        </w:tabs>
        <w:ind w:left="2880" w:hanging="360"/>
      </w:pPr>
      <w:rPr>
        <w:rFonts w:ascii="Arial" w:hAnsi="Arial" w:hint="default"/>
      </w:rPr>
    </w:lvl>
    <w:lvl w:ilvl="4" w:tplc="F65E0366" w:tentative="1">
      <w:start w:val="1"/>
      <w:numFmt w:val="bullet"/>
      <w:lvlText w:val="•"/>
      <w:lvlJc w:val="left"/>
      <w:pPr>
        <w:tabs>
          <w:tab w:val="num" w:pos="3600"/>
        </w:tabs>
        <w:ind w:left="3600" w:hanging="360"/>
      </w:pPr>
      <w:rPr>
        <w:rFonts w:ascii="Arial" w:hAnsi="Arial" w:hint="default"/>
      </w:rPr>
    </w:lvl>
    <w:lvl w:ilvl="5" w:tplc="C52CD012" w:tentative="1">
      <w:start w:val="1"/>
      <w:numFmt w:val="bullet"/>
      <w:lvlText w:val="•"/>
      <w:lvlJc w:val="left"/>
      <w:pPr>
        <w:tabs>
          <w:tab w:val="num" w:pos="4320"/>
        </w:tabs>
        <w:ind w:left="4320" w:hanging="360"/>
      </w:pPr>
      <w:rPr>
        <w:rFonts w:ascii="Arial" w:hAnsi="Arial" w:hint="default"/>
      </w:rPr>
    </w:lvl>
    <w:lvl w:ilvl="6" w:tplc="014C294A" w:tentative="1">
      <w:start w:val="1"/>
      <w:numFmt w:val="bullet"/>
      <w:lvlText w:val="•"/>
      <w:lvlJc w:val="left"/>
      <w:pPr>
        <w:tabs>
          <w:tab w:val="num" w:pos="5040"/>
        </w:tabs>
        <w:ind w:left="5040" w:hanging="360"/>
      </w:pPr>
      <w:rPr>
        <w:rFonts w:ascii="Arial" w:hAnsi="Arial" w:hint="default"/>
      </w:rPr>
    </w:lvl>
    <w:lvl w:ilvl="7" w:tplc="5792F8FE" w:tentative="1">
      <w:start w:val="1"/>
      <w:numFmt w:val="bullet"/>
      <w:lvlText w:val="•"/>
      <w:lvlJc w:val="left"/>
      <w:pPr>
        <w:tabs>
          <w:tab w:val="num" w:pos="5760"/>
        </w:tabs>
        <w:ind w:left="5760" w:hanging="360"/>
      </w:pPr>
      <w:rPr>
        <w:rFonts w:ascii="Arial" w:hAnsi="Arial" w:hint="default"/>
      </w:rPr>
    </w:lvl>
    <w:lvl w:ilvl="8" w:tplc="B88C49D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65D7418"/>
    <w:multiLevelType w:val="hybridMultilevel"/>
    <w:tmpl w:val="059A3290"/>
    <w:lvl w:ilvl="0" w:tplc="091CB8E2">
      <w:start w:val="1"/>
      <w:numFmt w:val="bullet"/>
      <w:lvlText w:val="•"/>
      <w:lvlJc w:val="left"/>
      <w:pPr>
        <w:tabs>
          <w:tab w:val="num" w:pos="720"/>
        </w:tabs>
        <w:ind w:left="720" w:hanging="360"/>
      </w:pPr>
      <w:rPr>
        <w:rFonts w:ascii="Arial" w:hAnsi="Arial" w:hint="default"/>
      </w:rPr>
    </w:lvl>
    <w:lvl w:ilvl="1" w:tplc="44CEE8D2" w:tentative="1">
      <w:start w:val="1"/>
      <w:numFmt w:val="bullet"/>
      <w:lvlText w:val="•"/>
      <w:lvlJc w:val="left"/>
      <w:pPr>
        <w:tabs>
          <w:tab w:val="num" w:pos="1440"/>
        </w:tabs>
        <w:ind w:left="1440" w:hanging="360"/>
      </w:pPr>
      <w:rPr>
        <w:rFonts w:ascii="Arial" w:hAnsi="Arial" w:hint="default"/>
      </w:rPr>
    </w:lvl>
    <w:lvl w:ilvl="2" w:tplc="4D4858DE" w:tentative="1">
      <w:start w:val="1"/>
      <w:numFmt w:val="bullet"/>
      <w:lvlText w:val="•"/>
      <w:lvlJc w:val="left"/>
      <w:pPr>
        <w:tabs>
          <w:tab w:val="num" w:pos="2160"/>
        </w:tabs>
        <w:ind w:left="2160" w:hanging="360"/>
      </w:pPr>
      <w:rPr>
        <w:rFonts w:ascii="Arial" w:hAnsi="Arial" w:hint="default"/>
      </w:rPr>
    </w:lvl>
    <w:lvl w:ilvl="3" w:tplc="94B0AFDA" w:tentative="1">
      <w:start w:val="1"/>
      <w:numFmt w:val="bullet"/>
      <w:lvlText w:val="•"/>
      <w:lvlJc w:val="left"/>
      <w:pPr>
        <w:tabs>
          <w:tab w:val="num" w:pos="2880"/>
        </w:tabs>
        <w:ind w:left="2880" w:hanging="360"/>
      </w:pPr>
      <w:rPr>
        <w:rFonts w:ascii="Arial" w:hAnsi="Arial" w:hint="default"/>
      </w:rPr>
    </w:lvl>
    <w:lvl w:ilvl="4" w:tplc="EDCAF7FE" w:tentative="1">
      <w:start w:val="1"/>
      <w:numFmt w:val="bullet"/>
      <w:lvlText w:val="•"/>
      <w:lvlJc w:val="left"/>
      <w:pPr>
        <w:tabs>
          <w:tab w:val="num" w:pos="3600"/>
        </w:tabs>
        <w:ind w:left="3600" w:hanging="360"/>
      </w:pPr>
      <w:rPr>
        <w:rFonts w:ascii="Arial" w:hAnsi="Arial" w:hint="default"/>
      </w:rPr>
    </w:lvl>
    <w:lvl w:ilvl="5" w:tplc="8B2A4DEE" w:tentative="1">
      <w:start w:val="1"/>
      <w:numFmt w:val="bullet"/>
      <w:lvlText w:val="•"/>
      <w:lvlJc w:val="left"/>
      <w:pPr>
        <w:tabs>
          <w:tab w:val="num" w:pos="4320"/>
        </w:tabs>
        <w:ind w:left="4320" w:hanging="360"/>
      </w:pPr>
      <w:rPr>
        <w:rFonts w:ascii="Arial" w:hAnsi="Arial" w:hint="default"/>
      </w:rPr>
    </w:lvl>
    <w:lvl w:ilvl="6" w:tplc="FF0C344E" w:tentative="1">
      <w:start w:val="1"/>
      <w:numFmt w:val="bullet"/>
      <w:lvlText w:val="•"/>
      <w:lvlJc w:val="left"/>
      <w:pPr>
        <w:tabs>
          <w:tab w:val="num" w:pos="5040"/>
        </w:tabs>
        <w:ind w:left="5040" w:hanging="360"/>
      </w:pPr>
      <w:rPr>
        <w:rFonts w:ascii="Arial" w:hAnsi="Arial" w:hint="default"/>
      </w:rPr>
    </w:lvl>
    <w:lvl w:ilvl="7" w:tplc="266A1BFA" w:tentative="1">
      <w:start w:val="1"/>
      <w:numFmt w:val="bullet"/>
      <w:lvlText w:val="•"/>
      <w:lvlJc w:val="left"/>
      <w:pPr>
        <w:tabs>
          <w:tab w:val="num" w:pos="5760"/>
        </w:tabs>
        <w:ind w:left="5760" w:hanging="360"/>
      </w:pPr>
      <w:rPr>
        <w:rFonts w:ascii="Arial" w:hAnsi="Arial" w:hint="default"/>
      </w:rPr>
    </w:lvl>
    <w:lvl w:ilvl="8" w:tplc="CA20ACF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7482322"/>
    <w:multiLevelType w:val="hybridMultilevel"/>
    <w:tmpl w:val="11C03F72"/>
    <w:lvl w:ilvl="0" w:tplc="674A0540">
      <w:start w:val="1"/>
      <w:numFmt w:val="bullet"/>
      <w:lvlText w:val="•"/>
      <w:lvlJc w:val="left"/>
      <w:pPr>
        <w:tabs>
          <w:tab w:val="num" w:pos="720"/>
        </w:tabs>
        <w:ind w:left="720" w:hanging="360"/>
      </w:pPr>
      <w:rPr>
        <w:rFonts w:ascii="Arial" w:hAnsi="Arial" w:hint="default"/>
      </w:rPr>
    </w:lvl>
    <w:lvl w:ilvl="1" w:tplc="E696CFE6" w:tentative="1">
      <w:start w:val="1"/>
      <w:numFmt w:val="bullet"/>
      <w:lvlText w:val="•"/>
      <w:lvlJc w:val="left"/>
      <w:pPr>
        <w:tabs>
          <w:tab w:val="num" w:pos="1440"/>
        </w:tabs>
        <w:ind w:left="1440" w:hanging="360"/>
      </w:pPr>
      <w:rPr>
        <w:rFonts w:ascii="Arial" w:hAnsi="Arial" w:hint="default"/>
      </w:rPr>
    </w:lvl>
    <w:lvl w:ilvl="2" w:tplc="4D5089DE" w:tentative="1">
      <w:start w:val="1"/>
      <w:numFmt w:val="bullet"/>
      <w:lvlText w:val="•"/>
      <w:lvlJc w:val="left"/>
      <w:pPr>
        <w:tabs>
          <w:tab w:val="num" w:pos="2160"/>
        </w:tabs>
        <w:ind w:left="2160" w:hanging="360"/>
      </w:pPr>
      <w:rPr>
        <w:rFonts w:ascii="Arial" w:hAnsi="Arial" w:hint="default"/>
      </w:rPr>
    </w:lvl>
    <w:lvl w:ilvl="3" w:tplc="A83C9F98" w:tentative="1">
      <w:start w:val="1"/>
      <w:numFmt w:val="bullet"/>
      <w:lvlText w:val="•"/>
      <w:lvlJc w:val="left"/>
      <w:pPr>
        <w:tabs>
          <w:tab w:val="num" w:pos="2880"/>
        </w:tabs>
        <w:ind w:left="2880" w:hanging="360"/>
      </w:pPr>
      <w:rPr>
        <w:rFonts w:ascii="Arial" w:hAnsi="Arial" w:hint="default"/>
      </w:rPr>
    </w:lvl>
    <w:lvl w:ilvl="4" w:tplc="F2DA389A" w:tentative="1">
      <w:start w:val="1"/>
      <w:numFmt w:val="bullet"/>
      <w:lvlText w:val="•"/>
      <w:lvlJc w:val="left"/>
      <w:pPr>
        <w:tabs>
          <w:tab w:val="num" w:pos="3600"/>
        </w:tabs>
        <w:ind w:left="3600" w:hanging="360"/>
      </w:pPr>
      <w:rPr>
        <w:rFonts w:ascii="Arial" w:hAnsi="Arial" w:hint="default"/>
      </w:rPr>
    </w:lvl>
    <w:lvl w:ilvl="5" w:tplc="E8549B64" w:tentative="1">
      <w:start w:val="1"/>
      <w:numFmt w:val="bullet"/>
      <w:lvlText w:val="•"/>
      <w:lvlJc w:val="left"/>
      <w:pPr>
        <w:tabs>
          <w:tab w:val="num" w:pos="4320"/>
        </w:tabs>
        <w:ind w:left="4320" w:hanging="360"/>
      </w:pPr>
      <w:rPr>
        <w:rFonts w:ascii="Arial" w:hAnsi="Arial" w:hint="default"/>
      </w:rPr>
    </w:lvl>
    <w:lvl w:ilvl="6" w:tplc="F69431B6" w:tentative="1">
      <w:start w:val="1"/>
      <w:numFmt w:val="bullet"/>
      <w:lvlText w:val="•"/>
      <w:lvlJc w:val="left"/>
      <w:pPr>
        <w:tabs>
          <w:tab w:val="num" w:pos="5040"/>
        </w:tabs>
        <w:ind w:left="5040" w:hanging="360"/>
      </w:pPr>
      <w:rPr>
        <w:rFonts w:ascii="Arial" w:hAnsi="Arial" w:hint="default"/>
      </w:rPr>
    </w:lvl>
    <w:lvl w:ilvl="7" w:tplc="6002A616" w:tentative="1">
      <w:start w:val="1"/>
      <w:numFmt w:val="bullet"/>
      <w:lvlText w:val="•"/>
      <w:lvlJc w:val="left"/>
      <w:pPr>
        <w:tabs>
          <w:tab w:val="num" w:pos="5760"/>
        </w:tabs>
        <w:ind w:left="5760" w:hanging="360"/>
      </w:pPr>
      <w:rPr>
        <w:rFonts w:ascii="Arial" w:hAnsi="Arial" w:hint="default"/>
      </w:rPr>
    </w:lvl>
    <w:lvl w:ilvl="8" w:tplc="394ED71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2E63F6"/>
    <w:multiLevelType w:val="hybridMultilevel"/>
    <w:tmpl w:val="2D7E8464"/>
    <w:lvl w:ilvl="0" w:tplc="7174D63E">
      <w:start w:val="1"/>
      <w:numFmt w:val="bullet"/>
      <w:lvlText w:val="•"/>
      <w:lvlJc w:val="left"/>
      <w:pPr>
        <w:tabs>
          <w:tab w:val="num" w:pos="720"/>
        </w:tabs>
        <w:ind w:left="720" w:hanging="360"/>
      </w:pPr>
      <w:rPr>
        <w:rFonts w:ascii="Arial" w:hAnsi="Arial" w:hint="default"/>
      </w:rPr>
    </w:lvl>
    <w:lvl w:ilvl="1" w:tplc="BD644094">
      <w:numFmt w:val="bullet"/>
      <w:lvlText w:val="•"/>
      <w:lvlJc w:val="left"/>
      <w:pPr>
        <w:tabs>
          <w:tab w:val="num" w:pos="1440"/>
        </w:tabs>
        <w:ind w:left="1440" w:hanging="360"/>
      </w:pPr>
      <w:rPr>
        <w:rFonts w:ascii="Arial" w:hAnsi="Arial" w:hint="default"/>
      </w:rPr>
    </w:lvl>
    <w:lvl w:ilvl="2" w:tplc="EDBE140A" w:tentative="1">
      <w:start w:val="1"/>
      <w:numFmt w:val="bullet"/>
      <w:lvlText w:val="•"/>
      <w:lvlJc w:val="left"/>
      <w:pPr>
        <w:tabs>
          <w:tab w:val="num" w:pos="2160"/>
        </w:tabs>
        <w:ind w:left="2160" w:hanging="360"/>
      </w:pPr>
      <w:rPr>
        <w:rFonts w:ascii="Arial" w:hAnsi="Arial" w:hint="default"/>
      </w:rPr>
    </w:lvl>
    <w:lvl w:ilvl="3" w:tplc="47DC27C2" w:tentative="1">
      <w:start w:val="1"/>
      <w:numFmt w:val="bullet"/>
      <w:lvlText w:val="•"/>
      <w:lvlJc w:val="left"/>
      <w:pPr>
        <w:tabs>
          <w:tab w:val="num" w:pos="2880"/>
        </w:tabs>
        <w:ind w:left="2880" w:hanging="360"/>
      </w:pPr>
      <w:rPr>
        <w:rFonts w:ascii="Arial" w:hAnsi="Arial" w:hint="default"/>
      </w:rPr>
    </w:lvl>
    <w:lvl w:ilvl="4" w:tplc="8F10FF56" w:tentative="1">
      <w:start w:val="1"/>
      <w:numFmt w:val="bullet"/>
      <w:lvlText w:val="•"/>
      <w:lvlJc w:val="left"/>
      <w:pPr>
        <w:tabs>
          <w:tab w:val="num" w:pos="3600"/>
        </w:tabs>
        <w:ind w:left="3600" w:hanging="360"/>
      </w:pPr>
      <w:rPr>
        <w:rFonts w:ascii="Arial" w:hAnsi="Arial" w:hint="default"/>
      </w:rPr>
    </w:lvl>
    <w:lvl w:ilvl="5" w:tplc="31E47C40" w:tentative="1">
      <w:start w:val="1"/>
      <w:numFmt w:val="bullet"/>
      <w:lvlText w:val="•"/>
      <w:lvlJc w:val="left"/>
      <w:pPr>
        <w:tabs>
          <w:tab w:val="num" w:pos="4320"/>
        </w:tabs>
        <w:ind w:left="4320" w:hanging="360"/>
      </w:pPr>
      <w:rPr>
        <w:rFonts w:ascii="Arial" w:hAnsi="Arial" w:hint="default"/>
      </w:rPr>
    </w:lvl>
    <w:lvl w:ilvl="6" w:tplc="14DCB8AE" w:tentative="1">
      <w:start w:val="1"/>
      <w:numFmt w:val="bullet"/>
      <w:lvlText w:val="•"/>
      <w:lvlJc w:val="left"/>
      <w:pPr>
        <w:tabs>
          <w:tab w:val="num" w:pos="5040"/>
        </w:tabs>
        <w:ind w:left="5040" w:hanging="360"/>
      </w:pPr>
      <w:rPr>
        <w:rFonts w:ascii="Arial" w:hAnsi="Arial" w:hint="default"/>
      </w:rPr>
    </w:lvl>
    <w:lvl w:ilvl="7" w:tplc="93C679D8" w:tentative="1">
      <w:start w:val="1"/>
      <w:numFmt w:val="bullet"/>
      <w:lvlText w:val="•"/>
      <w:lvlJc w:val="left"/>
      <w:pPr>
        <w:tabs>
          <w:tab w:val="num" w:pos="5760"/>
        </w:tabs>
        <w:ind w:left="5760" w:hanging="360"/>
      </w:pPr>
      <w:rPr>
        <w:rFonts w:ascii="Arial" w:hAnsi="Arial" w:hint="default"/>
      </w:rPr>
    </w:lvl>
    <w:lvl w:ilvl="8" w:tplc="DC9A80F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AE113E"/>
    <w:multiLevelType w:val="hybridMultilevel"/>
    <w:tmpl w:val="62364D74"/>
    <w:lvl w:ilvl="0" w:tplc="B35EA480">
      <w:start w:val="1"/>
      <w:numFmt w:val="bullet"/>
      <w:lvlText w:val="•"/>
      <w:lvlJc w:val="left"/>
      <w:pPr>
        <w:tabs>
          <w:tab w:val="num" w:pos="720"/>
        </w:tabs>
        <w:ind w:left="720" w:hanging="360"/>
      </w:pPr>
      <w:rPr>
        <w:rFonts w:ascii="Arial" w:hAnsi="Arial" w:hint="default"/>
      </w:rPr>
    </w:lvl>
    <w:lvl w:ilvl="1" w:tplc="3CB09070">
      <w:numFmt w:val="bullet"/>
      <w:lvlText w:val="•"/>
      <w:lvlJc w:val="left"/>
      <w:pPr>
        <w:tabs>
          <w:tab w:val="num" w:pos="1440"/>
        </w:tabs>
        <w:ind w:left="1440" w:hanging="360"/>
      </w:pPr>
      <w:rPr>
        <w:rFonts w:ascii="Arial" w:hAnsi="Arial" w:hint="default"/>
      </w:rPr>
    </w:lvl>
    <w:lvl w:ilvl="2" w:tplc="C36203F4" w:tentative="1">
      <w:start w:val="1"/>
      <w:numFmt w:val="bullet"/>
      <w:lvlText w:val="•"/>
      <w:lvlJc w:val="left"/>
      <w:pPr>
        <w:tabs>
          <w:tab w:val="num" w:pos="2160"/>
        </w:tabs>
        <w:ind w:left="2160" w:hanging="360"/>
      </w:pPr>
      <w:rPr>
        <w:rFonts w:ascii="Arial" w:hAnsi="Arial" w:hint="default"/>
      </w:rPr>
    </w:lvl>
    <w:lvl w:ilvl="3" w:tplc="2AEA967E" w:tentative="1">
      <w:start w:val="1"/>
      <w:numFmt w:val="bullet"/>
      <w:lvlText w:val="•"/>
      <w:lvlJc w:val="left"/>
      <w:pPr>
        <w:tabs>
          <w:tab w:val="num" w:pos="2880"/>
        </w:tabs>
        <w:ind w:left="2880" w:hanging="360"/>
      </w:pPr>
      <w:rPr>
        <w:rFonts w:ascii="Arial" w:hAnsi="Arial" w:hint="default"/>
      </w:rPr>
    </w:lvl>
    <w:lvl w:ilvl="4" w:tplc="0394B2DC" w:tentative="1">
      <w:start w:val="1"/>
      <w:numFmt w:val="bullet"/>
      <w:lvlText w:val="•"/>
      <w:lvlJc w:val="left"/>
      <w:pPr>
        <w:tabs>
          <w:tab w:val="num" w:pos="3600"/>
        </w:tabs>
        <w:ind w:left="3600" w:hanging="360"/>
      </w:pPr>
      <w:rPr>
        <w:rFonts w:ascii="Arial" w:hAnsi="Arial" w:hint="default"/>
      </w:rPr>
    </w:lvl>
    <w:lvl w:ilvl="5" w:tplc="158C203E" w:tentative="1">
      <w:start w:val="1"/>
      <w:numFmt w:val="bullet"/>
      <w:lvlText w:val="•"/>
      <w:lvlJc w:val="left"/>
      <w:pPr>
        <w:tabs>
          <w:tab w:val="num" w:pos="4320"/>
        </w:tabs>
        <w:ind w:left="4320" w:hanging="360"/>
      </w:pPr>
      <w:rPr>
        <w:rFonts w:ascii="Arial" w:hAnsi="Arial" w:hint="default"/>
      </w:rPr>
    </w:lvl>
    <w:lvl w:ilvl="6" w:tplc="3BC0B03E" w:tentative="1">
      <w:start w:val="1"/>
      <w:numFmt w:val="bullet"/>
      <w:lvlText w:val="•"/>
      <w:lvlJc w:val="left"/>
      <w:pPr>
        <w:tabs>
          <w:tab w:val="num" w:pos="5040"/>
        </w:tabs>
        <w:ind w:left="5040" w:hanging="360"/>
      </w:pPr>
      <w:rPr>
        <w:rFonts w:ascii="Arial" w:hAnsi="Arial" w:hint="default"/>
      </w:rPr>
    </w:lvl>
    <w:lvl w:ilvl="7" w:tplc="B55E525E" w:tentative="1">
      <w:start w:val="1"/>
      <w:numFmt w:val="bullet"/>
      <w:lvlText w:val="•"/>
      <w:lvlJc w:val="left"/>
      <w:pPr>
        <w:tabs>
          <w:tab w:val="num" w:pos="5760"/>
        </w:tabs>
        <w:ind w:left="5760" w:hanging="360"/>
      </w:pPr>
      <w:rPr>
        <w:rFonts w:ascii="Arial" w:hAnsi="Arial" w:hint="default"/>
      </w:rPr>
    </w:lvl>
    <w:lvl w:ilvl="8" w:tplc="7812EC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147511D"/>
    <w:multiLevelType w:val="hybridMultilevel"/>
    <w:tmpl w:val="08CCF5A6"/>
    <w:lvl w:ilvl="0" w:tplc="A74C9972">
      <w:start w:val="1"/>
      <w:numFmt w:val="bullet"/>
      <w:lvlText w:val="•"/>
      <w:lvlJc w:val="left"/>
      <w:pPr>
        <w:tabs>
          <w:tab w:val="num" w:pos="720"/>
        </w:tabs>
        <w:ind w:left="720" w:hanging="360"/>
      </w:pPr>
      <w:rPr>
        <w:rFonts w:ascii="Arial" w:hAnsi="Arial" w:hint="default"/>
      </w:rPr>
    </w:lvl>
    <w:lvl w:ilvl="1" w:tplc="1FD24172" w:tentative="1">
      <w:start w:val="1"/>
      <w:numFmt w:val="bullet"/>
      <w:lvlText w:val="•"/>
      <w:lvlJc w:val="left"/>
      <w:pPr>
        <w:tabs>
          <w:tab w:val="num" w:pos="1440"/>
        </w:tabs>
        <w:ind w:left="1440" w:hanging="360"/>
      </w:pPr>
      <w:rPr>
        <w:rFonts w:ascii="Arial" w:hAnsi="Arial" w:hint="default"/>
      </w:rPr>
    </w:lvl>
    <w:lvl w:ilvl="2" w:tplc="1DFA79E6" w:tentative="1">
      <w:start w:val="1"/>
      <w:numFmt w:val="bullet"/>
      <w:lvlText w:val="•"/>
      <w:lvlJc w:val="left"/>
      <w:pPr>
        <w:tabs>
          <w:tab w:val="num" w:pos="2160"/>
        </w:tabs>
        <w:ind w:left="2160" w:hanging="360"/>
      </w:pPr>
      <w:rPr>
        <w:rFonts w:ascii="Arial" w:hAnsi="Arial" w:hint="default"/>
      </w:rPr>
    </w:lvl>
    <w:lvl w:ilvl="3" w:tplc="13A29896" w:tentative="1">
      <w:start w:val="1"/>
      <w:numFmt w:val="bullet"/>
      <w:lvlText w:val="•"/>
      <w:lvlJc w:val="left"/>
      <w:pPr>
        <w:tabs>
          <w:tab w:val="num" w:pos="2880"/>
        </w:tabs>
        <w:ind w:left="2880" w:hanging="360"/>
      </w:pPr>
      <w:rPr>
        <w:rFonts w:ascii="Arial" w:hAnsi="Arial" w:hint="default"/>
      </w:rPr>
    </w:lvl>
    <w:lvl w:ilvl="4" w:tplc="305ECCF4" w:tentative="1">
      <w:start w:val="1"/>
      <w:numFmt w:val="bullet"/>
      <w:lvlText w:val="•"/>
      <w:lvlJc w:val="left"/>
      <w:pPr>
        <w:tabs>
          <w:tab w:val="num" w:pos="3600"/>
        </w:tabs>
        <w:ind w:left="3600" w:hanging="360"/>
      </w:pPr>
      <w:rPr>
        <w:rFonts w:ascii="Arial" w:hAnsi="Arial" w:hint="default"/>
      </w:rPr>
    </w:lvl>
    <w:lvl w:ilvl="5" w:tplc="4D9CDED8" w:tentative="1">
      <w:start w:val="1"/>
      <w:numFmt w:val="bullet"/>
      <w:lvlText w:val="•"/>
      <w:lvlJc w:val="left"/>
      <w:pPr>
        <w:tabs>
          <w:tab w:val="num" w:pos="4320"/>
        </w:tabs>
        <w:ind w:left="4320" w:hanging="360"/>
      </w:pPr>
      <w:rPr>
        <w:rFonts w:ascii="Arial" w:hAnsi="Arial" w:hint="default"/>
      </w:rPr>
    </w:lvl>
    <w:lvl w:ilvl="6" w:tplc="B2F265B4" w:tentative="1">
      <w:start w:val="1"/>
      <w:numFmt w:val="bullet"/>
      <w:lvlText w:val="•"/>
      <w:lvlJc w:val="left"/>
      <w:pPr>
        <w:tabs>
          <w:tab w:val="num" w:pos="5040"/>
        </w:tabs>
        <w:ind w:left="5040" w:hanging="360"/>
      </w:pPr>
      <w:rPr>
        <w:rFonts w:ascii="Arial" w:hAnsi="Arial" w:hint="default"/>
      </w:rPr>
    </w:lvl>
    <w:lvl w:ilvl="7" w:tplc="49EC44C2" w:tentative="1">
      <w:start w:val="1"/>
      <w:numFmt w:val="bullet"/>
      <w:lvlText w:val="•"/>
      <w:lvlJc w:val="left"/>
      <w:pPr>
        <w:tabs>
          <w:tab w:val="num" w:pos="5760"/>
        </w:tabs>
        <w:ind w:left="5760" w:hanging="360"/>
      </w:pPr>
      <w:rPr>
        <w:rFonts w:ascii="Arial" w:hAnsi="Arial" w:hint="default"/>
      </w:rPr>
    </w:lvl>
    <w:lvl w:ilvl="8" w:tplc="1E90DAC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936FAE"/>
    <w:multiLevelType w:val="hybridMultilevel"/>
    <w:tmpl w:val="4E265690"/>
    <w:lvl w:ilvl="0" w:tplc="58E4AA56">
      <w:start w:val="1"/>
      <w:numFmt w:val="bullet"/>
      <w:lvlText w:val="•"/>
      <w:lvlJc w:val="left"/>
      <w:pPr>
        <w:tabs>
          <w:tab w:val="num" w:pos="720"/>
        </w:tabs>
        <w:ind w:left="720" w:hanging="360"/>
      </w:pPr>
      <w:rPr>
        <w:rFonts w:ascii="Arial" w:hAnsi="Arial" w:hint="default"/>
      </w:rPr>
    </w:lvl>
    <w:lvl w:ilvl="1" w:tplc="48F41716" w:tentative="1">
      <w:start w:val="1"/>
      <w:numFmt w:val="bullet"/>
      <w:lvlText w:val="•"/>
      <w:lvlJc w:val="left"/>
      <w:pPr>
        <w:tabs>
          <w:tab w:val="num" w:pos="1440"/>
        </w:tabs>
        <w:ind w:left="1440" w:hanging="360"/>
      </w:pPr>
      <w:rPr>
        <w:rFonts w:ascii="Arial" w:hAnsi="Arial" w:hint="default"/>
      </w:rPr>
    </w:lvl>
    <w:lvl w:ilvl="2" w:tplc="1F86E086" w:tentative="1">
      <w:start w:val="1"/>
      <w:numFmt w:val="bullet"/>
      <w:lvlText w:val="•"/>
      <w:lvlJc w:val="left"/>
      <w:pPr>
        <w:tabs>
          <w:tab w:val="num" w:pos="2160"/>
        </w:tabs>
        <w:ind w:left="2160" w:hanging="360"/>
      </w:pPr>
      <w:rPr>
        <w:rFonts w:ascii="Arial" w:hAnsi="Arial" w:hint="default"/>
      </w:rPr>
    </w:lvl>
    <w:lvl w:ilvl="3" w:tplc="09C883D2" w:tentative="1">
      <w:start w:val="1"/>
      <w:numFmt w:val="bullet"/>
      <w:lvlText w:val="•"/>
      <w:lvlJc w:val="left"/>
      <w:pPr>
        <w:tabs>
          <w:tab w:val="num" w:pos="2880"/>
        </w:tabs>
        <w:ind w:left="2880" w:hanging="360"/>
      </w:pPr>
      <w:rPr>
        <w:rFonts w:ascii="Arial" w:hAnsi="Arial" w:hint="default"/>
      </w:rPr>
    </w:lvl>
    <w:lvl w:ilvl="4" w:tplc="6D8CF528" w:tentative="1">
      <w:start w:val="1"/>
      <w:numFmt w:val="bullet"/>
      <w:lvlText w:val="•"/>
      <w:lvlJc w:val="left"/>
      <w:pPr>
        <w:tabs>
          <w:tab w:val="num" w:pos="3600"/>
        </w:tabs>
        <w:ind w:left="3600" w:hanging="360"/>
      </w:pPr>
      <w:rPr>
        <w:rFonts w:ascii="Arial" w:hAnsi="Arial" w:hint="default"/>
      </w:rPr>
    </w:lvl>
    <w:lvl w:ilvl="5" w:tplc="8DDEF4F0" w:tentative="1">
      <w:start w:val="1"/>
      <w:numFmt w:val="bullet"/>
      <w:lvlText w:val="•"/>
      <w:lvlJc w:val="left"/>
      <w:pPr>
        <w:tabs>
          <w:tab w:val="num" w:pos="4320"/>
        </w:tabs>
        <w:ind w:left="4320" w:hanging="360"/>
      </w:pPr>
      <w:rPr>
        <w:rFonts w:ascii="Arial" w:hAnsi="Arial" w:hint="default"/>
      </w:rPr>
    </w:lvl>
    <w:lvl w:ilvl="6" w:tplc="4E5A5CC4" w:tentative="1">
      <w:start w:val="1"/>
      <w:numFmt w:val="bullet"/>
      <w:lvlText w:val="•"/>
      <w:lvlJc w:val="left"/>
      <w:pPr>
        <w:tabs>
          <w:tab w:val="num" w:pos="5040"/>
        </w:tabs>
        <w:ind w:left="5040" w:hanging="360"/>
      </w:pPr>
      <w:rPr>
        <w:rFonts w:ascii="Arial" w:hAnsi="Arial" w:hint="default"/>
      </w:rPr>
    </w:lvl>
    <w:lvl w:ilvl="7" w:tplc="3098BDF8" w:tentative="1">
      <w:start w:val="1"/>
      <w:numFmt w:val="bullet"/>
      <w:lvlText w:val="•"/>
      <w:lvlJc w:val="left"/>
      <w:pPr>
        <w:tabs>
          <w:tab w:val="num" w:pos="5760"/>
        </w:tabs>
        <w:ind w:left="5760" w:hanging="360"/>
      </w:pPr>
      <w:rPr>
        <w:rFonts w:ascii="Arial" w:hAnsi="Arial" w:hint="default"/>
      </w:rPr>
    </w:lvl>
    <w:lvl w:ilvl="8" w:tplc="7A44FB8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8C67CBA"/>
    <w:multiLevelType w:val="hybridMultilevel"/>
    <w:tmpl w:val="8448245C"/>
    <w:lvl w:ilvl="0" w:tplc="46989280">
      <w:start w:val="1"/>
      <w:numFmt w:val="bullet"/>
      <w:lvlText w:val="•"/>
      <w:lvlJc w:val="left"/>
      <w:pPr>
        <w:tabs>
          <w:tab w:val="num" w:pos="720"/>
        </w:tabs>
        <w:ind w:left="720" w:hanging="360"/>
      </w:pPr>
      <w:rPr>
        <w:rFonts w:ascii="Arial" w:hAnsi="Arial" w:hint="default"/>
      </w:rPr>
    </w:lvl>
    <w:lvl w:ilvl="1" w:tplc="E396B6A4">
      <w:numFmt w:val="bullet"/>
      <w:lvlText w:val="•"/>
      <w:lvlJc w:val="left"/>
      <w:pPr>
        <w:tabs>
          <w:tab w:val="num" w:pos="1440"/>
        </w:tabs>
        <w:ind w:left="1440" w:hanging="360"/>
      </w:pPr>
      <w:rPr>
        <w:rFonts w:ascii="Arial" w:hAnsi="Arial" w:hint="default"/>
      </w:rPr>
    </w:lvl>
    <w:lvl w:ilvl="2" w:tplc="1E9CC20E" w:tentative="1">
      <w:start w:val="1"/>
      <w:numFmt w:val="bullet"/>
      <w:lvlText w:val="•"/>
      <w:lvlJc w:val="left"/>
      <w:pPr>
        <w:tabs>
          <w:tab w:val="num" w:pos="2160"/>
        </w:tabs>
        <w:ind w:left="2160" w:hanging="360"/>
      </w:pPr>
      <w:rPr>
        <w:rFonts w:ascii="Arial" w:hAnsi="Arial" w:hint="default"/>
      </w:rPr>
    </w:lvl>
    <w:lvl w:ilvl="3" w:tplc="427E2F38" w:tentative="1">
      <w:start w:val="1"/>
      <w:numFmt w:val="bullet"/>
      <w:lvlText w:val="•"/>
      <w:lvlJc w:val="left"/>
      <w:pPr>
        <w:tabs>
          <w:tab w:val="num" w:pos="2880"/>
        </w:tabs>
        <w:ind w:left="2880" w:hanging="360"/>
      </w:pPr>
      <w:rPr>
        <w:rFonts w:ascii="Arial" w:hAnsi="Arial" w:hint="default"/>
      </w:rPr>
    </w:lvl>
    <w:lvl w:ilvl="4" w:tplc="0778C63A" w:tentative="1">
      <w:start w:val="1"/>
      <w:numFmt w:val="bullet"/>
      <w:lvlText w:val="•"/>
      <w:lvlJc w:val="left"/>
      <w:pPr>
        <w:tabs>
          <w:tab w:val="num" w:pos="3600"/>
        </w:tabs>
        <w:ind w:left="3600" w:hanging="360"/>
      </w:pPr>
      <w:rPr>
        <w:rFonts w:ascii="Arial" w:hAnsi="Arial" w:hint="default"/>
      </w:rPr>
    </w:lvl>
    <w:lvl w:ilvl="5" w:tplc="3566020C" w:tentative="1">
      <w:start w:val="1"/>
      <w:numFmt w:val="bullet"/>
      <w:lvlText w:val="•"/>
      <w:lvlJc w:val="left"/>
      <w:pPr>
        <w:tabs>
          <w:tab w:val="num" w:pos="4320"/>
        </w:tabs>
        <w:ind w:left="4320" w:hanging="360"/>
      </w:pPr>
      <w:rPr>
        <w:rFonts w:ascii="Arial" w:hAnsi="Arial" w:hint="default"/>
      </w:rPr>
    </w:lvl>
    <w:lvl w:ilvl="6" w:tplc="D330560A" w:tentative="1">
      <w:start w:val="1"/>
      <w:numFmt w:val="bullet"/>
      <w:lvlText w:val="•"/>
      <w:lvlJc w:val="left"/>
      <w:pPr>
        <w:tabs>
          <w:tab w:val="num" w:pos="5040"/>
        </w:tabs>
        <w:ind w:left="5040" w:hanging="360"/>
      </w:pPr>
      <w:rPr>
        <w:rFonts w:ascii="Arial" w:hAnsi="Arial" w:hint="default"/>
      </w:rPr>
    </w:lvl>
    <w:lvl w:ilvl="7" w:tplc="46E42388" w:tentative="1">
      <w:start w:val="1"/>
      <w:numFmt w:val="bullet"/>
      <w:lvlText w:val="•"/>
      <w:lvlJc w:val="left"/>
      <w:pPr>
        <w:tabs>
          <w:tab w:val="num" w:pos="5760"/>
        </w:tabs>
        <w:ind w:left="5760" w:hanging="360"/>
      </w:pPr>
      <w:rPr>
        <w:rFonts w:ascii="Arial" w:hAnsi="Arial" w:hint="default"/>
      </w:rPr>
    </w:lvl>
    <w:lvl w:ilvl="8" w:tplc="8EFCE4B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4282AB7"/>
    <w:multiLevelType w:val="hybridMultilevel"/>
    <w:tmpl w:val="E4D2049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7C001F2"/>
    <w:multiLevelType w:val="hybridMultilevel"/>
    <w:tmpl w:val="A788C0C4"/>
    <w:lvl w:ilvl="0" w:tplc="CAEAFF28">
      <w:start w:val="1"/>
      <w:numFmt w:val="bullet"/>
      <w:lvlText w:val="•"/>
      <w:lvlJc w:val="left"/>
      <w:pPr>
        <w:tabs>
          <w:tab w:val="num" w:pos="720"/>
        </w:tabs>
        <w:ind w:left="720" w:hanging="360"/>
      </w:pPr>
      <w:rPr>
        <w:rFonts w:ascii="Arial" w:hAnsi="Arial" w:hint="default"/>
      </w:rPr>
    </w:lvl>
    <w:lvl w:ilvl="1" w:tplc="314A2BE6" w:tentative="1">
      <w:start w:val="1"/>
      <w:numFmt w:val="bullet"/>
      <w:lvlText w:val="•"/>
      <w:lvlJc w:val="left"/>
      <w:pPr>
        <w:tabs>
          <w:tab w:val="num" w:pos="1440"/>
        </w:tabs>
        <w:ind w:left="1440" w:hanging="360"/>
      </w:pPr>
      <w:rPr>
        <w:rFonts w:ascii="Arial" w:hAnsi="Arial" w:hint="default"/>
      </w:rPr>
    </w:lvl>
    <w:lvl w:ilvl="2" w:tplc="9E2A5FF4" w:tentative="1">
      <w:start w:val="1"/>
      <w:numFmt w:val="bullet"/>
      <w:lvlText w:val="•"/>
      <w:lvlJc w:val="left"/>
      <w:pPr>
        <w:tabs>
          <w:tab w:val="num" w:pos="2160"/>
        </w:tabs>
        <w:ind w:left="2160" w:hanging="360"/>
      </w:pPr>
      <w:rPr>
        <w:rFonts w:ascii="Arial" w:hAnsi="Arial" w:hint="default"/>
      </w:rPr>
    </w:lvl>
    <w:lvl w:ilvl="3" w:tplc="80A83C6A" w:tentative="1">
      <w:start w:val="1"/>
      <w:numFmt w:val="bullet"/>
      <w:lvlText w:val="•"/>
      <w:lvlJc w:val="left"/>
      <w:pPr>
        <w:tabs>
          <w:tab w:val="num" w:pos="2880"/>
        </w:tabs>
        <w:ind w:left="2880" w:hanging="360"/>
      </w:pPr>
      <w:rPr>
        <w:rFonts w:ascii="Arial" w:hAnsi="Arial" w:hint="default"/>
      </w:rPr>
    </w:lvl>
    <w:lvl w:ilvl="4" w:tplc="07C67854" w:tentative="1">
      <w:start w:val="1"/>
      <w:numFmt w:val="bullet"/>
      <w:lvlText w:val="•"/>
      <w:lvlJc w:val="left"/>
      <w:pPr>
        <w:tabs>
          <w:tab w:val="num" w:pos="3600"/>
        </w:tabs>
        <w:ind w:left="3600" w:hanging="360"/>
      </w:pPr>
      <w:rPr>
        <w:rFonts w:ascii="Arial" w:hAnsi="Arial" w:hint="default"/>
      </w:rPr>
    </w:lvl>
    <w:lvl w:ilvl="5" w:tplc="C6B6D314" w:tentative="1">
      <w:start w:val="1"/>
      <w:numFmt w:val="bullet"/>
      <w:lvlText w:val="•"/>
      <w:lvlJc w:val="left"/>
      <w:pPr>
        <w:tabs>
          <w:tab w:val="num" w:pos="4320"/>
        </w:tabs>
        <w:ind w:left="4320" w:hanging="360"/>
      </w:pPr>
      <w:rPr>
        <w:rFonts w:ascii="Arial" w:hAnsi="Arial" w:hint="default"/>
      </w:rPr>
    </w:lvl>
    <w:lvl w:ilvl="6" w:tplc="2B84EB8A" w:tentative="1">
      <w:start w:val="1"/>
      <w:numFmt w:val="bullet"/>
      <w:lvlText w:val="•"/>
      <w:lvlJc w:val="left"/>
      <w:pPr>
        <w:tabs>
          <w:tab w:val="num" w:pos="5040"/>
        </w:tabs>
        <w:ind w:left="5040" w:hanging="360"/>
      </w:pPr>
      <w:rPr>
        <w:rFonts w:ascii="Arial" w:hAnsi="Arial" w:hint="default"/>
      </w:rPr>
    </w:lvl>
    <w:lvl w:ilvl="7" w:tplc="D60AD0AA" w:tentative="1">
      <w:start w:val="1"/>
      <w:numFmt w:val="bullet"/>
      <w:lvlText w:val="•"/>
      <w:lvlJc w:val="left"/>
      <w:pPr>
        <w:tabs>
          <w:tab w:val="num" w:pos="5760"/>
        </w:tabs>
        <w:ind w:left="5760" w:hanging="360"/>
      </w:pPr>
      <w:rPr>
        <w:rFonts w:ascii="Arial" w:hAnsi="Arial" w:hint="default"/>
      </w:rPr>
    </w:lvl>
    <w:lvl w:ilvl="8" w:tplc="9D66C51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0826AF3"/>
    <w:multiLevelType w:val="hybridMultilevel"/>
    <w:tmpl w:val="7D8E3170"/>
    <w:lvl w:ilvl="0" w:tplc="ECA03CDA">
      <w:start w:val="1"/>
      <w:numFmt w:val="bullet"/>
      <w:lvlText w:val="•"/>
      <w:lvlJc w:val="left"/>
      <w:pPr>
        <w:tabs>
          <w:tab w:val="num" w:pos="720"/>
        </w:tabs>
        <w:ind w:left="720" w:hanging="360"/>
      </w:pPr>
      <w:rPr>
        <w:rFonts w:ascii="Arial" w:hAnsi="Arial" w:hint="default"/>
      </w:rPr>
    </w:lvl>
    <w:lvl w:ilvl="1" w:tplc="D8B2D6AA">
      <w:numFmt w:val="bullet"/>
      <w:lvlText w:val="•"/>
      <w:lvlJc w:val="left"/>
      <w:pPr>
        <w:tabs>
          <w:tab w:val="num" w:pos="1440"/>
        </w:tabs>
        <w:ind w:left="1440" w:hanging="360"/>
      </w:pPr>
      <w:rPr>
        <w:rFonts w:ascii="Arial" w:hAnsi="Arial" w:hint="default"/>
      </w:rPr>
    </w:lvl>
    <w:lvl w:ilvl="2" w:tplc="EE18BB38" w:tentative="1">
      <w:start w:val="1"/>
      <w:numFmt w:val="bullet"/>
      <w:lvlText w:val="•"/>
      <w:lvlJc w:val="left"/>
      <w:pPr>
        <w:tabs>
          <w:tab w:val="num" w:pos="2160"/>
        </w:tabs>
        <w:ind w:left="2160" w:hanging="360"/>
      </w:pPr>
      <w:rPr>
        <w:rFonts w:ascii="Arial" w:hAnsi="Arial" w:hint="default"/>
      </w:rPr>
    </w:lvl>
    <w:lvl w:ilvl="3" w:tplc="D34819CE" w:tentative="1">
      <w:start w:val="1"/>
      <w:numFmt w:val="bullet"/>
      <w:lvlText w:val="•"/>
      <w:lvlJc w:val="left"/>
      <w:pPr>
        <w:tabs>
          <w:tab w:val="num" w:pos="2880"/>
        </w:tabs>
        <w:ind w:left="2880" w:hanging="360"/>
      </w:pPr>
      <w:rPr>
        <w:rFonts w:ascii="Arial" w:hAnsi="Arial" w:hint="default"/>
      </w:rPr>
    </w:lvl>
    <w:lvl w:ilvl="4" w:tplc="35C66A3C" w:tentative="1">
      <w:start w:val="1"/>
      <w:numFmt w:val="bullet"/>
      <w:lvlText w:val="•"/>
      <w:lvlJc w:val="left"/>
      <w:pPr>
        <w:tabs>
          <w:tab w:val="num" w:pos="3600"/>
        </w:tabs>
        <w:ind w:left="3600" w:hanging="360"/>
      </w:pPr>
      <w:rPr>
        <w:rFonts w:ascii="Arial" w:hAnsi="Arial" w:hint="default"/>
      </w:rPr>
    </w:lvl>
    <w:lvl w:ilvl="5" w:tplc="1FA09100" w:tentative="1">
      <w:start w:val="1"/>
      <w:numFmt w:val="bullet"/>
      <w:lvlText w:val="•"/>
      <w:lvlJc w:val="left"/>
      <w:pPr>
        <w:tabs>
          <w:tab w:val="num" w:pos="4320"/>
        </w:tabs>
        <w:ind w:left="4320" w:hanging="360"/>
      </w:pPr>
      <w:rPr>
        <w:rFonts w:ascii="Arial" w:hAnsi="Arial" w:hint="default"/>
      </w:rPr>
    </w:lvl>
    <w:lvl w:ilvl="6" w:tplc="3388512A" w:tentative="1">
      <w:start w:val="1"/>
      <w:numFmt w:val="bullet"/>
      <w:lvlText w:val="•"/>
      <w:lvlJc w:val="left"/>
      <w:pPr>
        <w:tabs>
          <w:tab w:val="num" w:pos="5040"/>
        </w:tabs>
        <w:ind w:left="5040" w:hanging="360"/>
      </w:pPr>
      <w:rPr>
        <w:rFonts w:ascii="Arial" w:hAnsi="Arial" w:hint="default"/>
      </w:rPr>
    </w:lvl>
    <w:lvl w:ilvl="7" w:tplc="42DC6048" w:tentative="1">
      <w:start w:val="1"/>
      <w:numFmt w:val="bullet"/>
      <w:lvlText w:val="•"/>
      <w:lvlJc w:val="left"/>
      <w:pPr>
        <w:tabs>
          <w:tab w:val="num" w:pos="5760"/>
        </w:tabs>
        <w:ind w:left="5760" w:hanging="360"/>
      </w:pPr>
      <w:rPr>
        <w:rFonts w:ascii="Arial" w:hAnsi="Arial" w:hint="default"/>
      </w:rPr>
    </w:lvl>
    <w:lvl w:ilvl="8" w:tplc="053A05F4" w:tentative="1">
      <w:start w:val="1"/>
      <w:numFmt w:val="bullet"/>
      <w:lvlText w:val="•"/>
      <w:lvlJc w:val="left"/>
      <w:pPr>
        <w:tabs>
          <w:tab w:val="num" w:pos="6480"/>
        </w:tabs>
        <w:ind w:left="6480" w:hanging="360"/>
      </w:pPr>
      <w:rPr>
        <w:rFonts w:ascii="Arial" w:hAnsi="Arial" w:hint="default"/>
      </w:rPr>
    </w:lvl>
  </w:abstractNum>
  <w:num w:numId="1" w16cid:durableId="47265647">
    <w:abstractNumId w:val="3"/>
  </w:num>
  <w:num w:numId="2" w16cid:durableId="1764259306">
    <w:abstractNumId w:val="0"/>
  </w:num>
  <w:num w:numId="3" w16cid:durableId="1126048882">
    <w:abstractNumId w:val="7"/>
  </w:num>
  <w:num w:numId="4" w16cid:durableId="1365861309">
    <w:abstractNumId w:val="4"/>
  </w:num>
  <w:num w:numId="5" w16cid:durableId="800658813">
    <w:abstractNumId w:val="9"/>
  </w:num>
  <w:num w:numId="6" w16cid:durableId="1124736497">
    <w:abstractNumId w:val="2"/>
  </w:num>
  <w:num w:numId="7" w16cid:durableId="701397108">
    <w:abstractNumId w:val="5"/>
  </w:num>
  <w:num w:numId="8" w16cid:durableId="740297373">
    <w:abstractNumId w:val="11"/>
  </w:num>
  <w:num w:numId="9" w16cid:durableId="735931739">
    <w:abstractNumId w:val="10"/>
  </w:num>
  <w:num w:numId="10" w16cid:durableId="1725446154">
    <w:abstractNumId w:val="13"/>
  </w:num>
  <w:num w:numId="11" w16cid:durableId="2048797266">
    <w:abstractNumId w:val="6"/>
  </w:num>
  <w:num w:numId="12" w16cid:durableId="1531139346">
    <w:abstractNumId w:val="8"/>
  </w:num>
  <w:num w:numId="13" w16cid:durableId="1601987491">
    <w:abstractNumId w:val="1"/>
  </w:num>
  <w:num w:numId="14" w16cid:durableId="8443247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C46"/>
    <w:rsid w:val="00035635"/>
    <w:rsid w:val="00093461"/>
    <w:rsid w:val="000D16A5"/>
    <w:rsid w:val="001054A2"/>
    <w:rsid w:val="0010673A"/>
    <w:rsid w:val="001143B8"/>
    <w:rsid w:val="001C4910"/>
    <w:rsid w:val="002360FD"/>
    <w:rsid w:val="00244B0D"/>
    <w:rsid w:val="002E4257"/>
    <w:rsid w:val="0031535E"/>
    <w:rsid w:val="00341610"/>
    <w:rsid w:val="00356EF4"/>
    <w:rsid w:val="00365C60"/>
    <w:rsid w:val="003D3E57"/>
    <w:rsid w:val="00444B5B"/>
    <w:rsid w:val="004A3B43"/>
    <w:rsid w:val="00590296"/>
    <w:rsid w:val="005A7979"/>
    <w:rsid w:val="00620C08"/>
    <w:rsid w:val="00626ADB"/>
    <w:rsid w:val="006C516B"/>
    <w:rsid w:val="006E7150"/>
    <w:rsid w:val="007A6FD5"/>
    <w:rsid w:val="008636C2"/>
    <w:rsid w:val="00892254"/>
    <w:rsid w:val="008C7014"/>
    <w:rsid w:val="008D1B9F"/>
    <w:rsid w:val="009F4FFA"/>
    <w:rsid w:val="00A667F0"/>
    <w:rsid w:val="00AD2D36"/>
    <w:rsid w:val="00AD50F9"/>
    <w:rsid w:val="00AD7C5D"/>
    <w:rsid w:val="00BF3AF1"/>
    <w:rsid w:val="00BF4054"/>
    <w:rsid w:val="00C70C46"/>
    <w:rsid w:val="00CB288F"/>
    <w:rsid w:val="00D7594D"/>
    <w:rsid w:val="00DA5910"/>
    <w:rsid w:val="00DB2FBA"/>
    <w:rsid w:val="00E01800"/>
    <w:rsid w:val="00F47A1F"/>
    <w:rsid w:val="00F54BA6"/>
    <w:rsid w:val="00FA7FA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8DF93"/>
  <w15:chartTrackingRefBased/>
  <w15:docId w15:val="{35DA794A-33DD-4E21-A6A6-ACFD7812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4D"/>
    <w:pPr>
      <w:spacing w:after="0" w:line="240" w:lineRule="auto"/>
    </w:pPr>
    <w:rPr>
      <w:rFonts w:ascii="Times New Roman" w:eastAsia="Arial Unicode MS"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70C4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nl-BE"/>
      <w14:ligatures w14:val="standardContextual"/>
    </w:rPr>
  </w:style>
  <w:style w:type="paragraph" w:styleId="Heading2">
    <w:name w:val="heading 2"/>
    <w:basedOn w:val="Normal"/>
    <w:next w:val="Normal"/>
    <w:link w:val="Heading2Char"/>
    <w:uiPriority w:val="9"/>
    <w:semiHidden/>
    <w:unhideWhenUsed/>
    <w:qFormat/>
    <w:rsid w:val="00C70C4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nl-BE"/>
      <w14:ligatures w14:val="standardContextual"/>
    </w:rPr>
  </w:style>
  <w:style w:type="paragraph" w:styleId="Heading3">
    <w:name w:val="heading 3"/>
    <w:basedOn w:val="Normal"/>
    <w:next w:val="Normal"/>
    <w:link w:val="Heading3Char"/>
    <w:uiPriority w:val="9"/>
    <w:semiHidden/>
    <w:unhideWhenUsed/>
    <w:qFormat/>
    <w:rsid w:val="00C70C46"/>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nl-BE"/>
      <w14:ligatures w14:val="standardContextual"/>
    </w:rPr>
  </w:style>
  <w:style w:type="paragraph" w:styleId="Heading4">
    <w:name w:val="heading 4"/>
    <w:basedOn w:val="Normal"/>
    <w:next w:val="Normal"/>
    <w:link w:val="Heading4Char"/>
    <w:uiPriority w:val="9"/>
    <w:semiHidden/>
    <w:unhideWhenUsed/>
    <w:qFormat/>
    <w:rsid w:val="00C70C4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val="nl-BE"/>
      <w14:ligatures w14:val="standardContextual"/>
    </w:rPr>
  </w:style>
  <w:style w:type="paragraph" w:styleId="Heading5">
    <w:name w:val="heading 5"/>
    <w:basedOn w:val="Normal"/>
    <w:next w:val="Normal"/>
    <w:link w:val="Heading5Char"/>
    <w:uiPriority w:val="9"/>
    <w:semiHidden/>
    <w:unhideWhenUsed/>
    <w:qFormat/>
    <w:rsid w:val="00C70C4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val="nl-BE"/>
      <w14:ligatures w14:val="standardContextual"/>
    </w:rPr>
  </w:style>
  <w:style w:type="paragraph" w:styleId="Heading6">
    <w:name w:val="heading 6"/>
    <w:basedOn w:val="Normal"/>
    <w:next w:val="Normal"/>
    <w:link w:val="Heading6Char"/>
    <w:uiPriority w:val="9"/>
    <w:semiHidden/>
    <w:unhideWhenUsed/>
    <w:qFormat/>
    <w:rsid w:val="00C70C4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nl-BE"/>
      <w14:ligatures w14:val="standardContextual"/>
    </w:rPr>
  </w:style>
  <w:style w:type="paragraph" w:styleId="Heading7">
    <w:name w:val="heading 7"/>
    <w:basedOn w:val="Normal"/>
    <w:next w:val="Normal"/>
    <w:link w:val="Heading7Char"/>
    <w:uiPriority w:val="9"/>
    <w:semiHidden/>
    <w:unhideWhenUsed/>
    <w:qFormat/>
    <w:rsid w:val="00C70C4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nl-BE"/>
      <w14:ligatures w14:val="standardContextual"/>
    </w:rPr>
  </w:style>
  <w:style w:type="paragraph" w:styleId="Heading8">
    <w:name w:val="heading 8"/>
    <w:basedOn w:val="Normal"/>
    <w:next w:val="Normal"/>
    <w:link w:val="Heading8Char"/>
    <w:uiPriority w:val="9"/>
    <w:semiHidden/>
    <w:unhideWhenUsed/>
    <w:qFormat/>
    <w:rsid w:val="00C70C46"/>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nl-BE"/>
      <w14:ligatures w14:val="standardContextual"/>
    </w:rPr>
  </w:style>
  <w:style w:type="paragraph" w:styleId="Heading9">
    <w:name w:val="heading 9"/>
    <w:basedOn w:val="Normal"/>
    <w:next w:val="Normal"/>
    <w:link w:val="Heading9Char"/>
    <w:uiPriority w:val="9"/>
    <w:semiHidden/>
    <w:unhideWhenUsed/>
    <w:qFormat/>
    <w:rsid w:val="00C70C46"/>
    <w:pPr>
      <w:keepNext/>
      <w:keepLines/>
      <w:spacing w:line="259" w:lineRule="auto"/>
      <w:outlineLvl w:val="8"/>
    </w:pPr>
    <w:rPr>
      <w:rFonts w:asciiTheme="minorHAnsi" w:eastAsiaTheme="majorEastAsia" w:hAnsiTheme="minorHAnsi" w:cstheme="majorBidi"/>
      <w:color w:val="272727" w:themeColor="text1" w:themeTint="D8"/>
      <w:kern w:val="2"/>
      <w:sz w:val="22"/>
      <w:szCs w:val="22"/>
      <w:lang w:val="nl-BE"/>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C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0C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0C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0C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0C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0C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0C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0C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0C46"/>
    <w:rPr>
      <w:rFonts w:eastAsiaTheme="majorEastAsia" w:cstheme="majorBidi"/>
      <w:color w:val="272727" w:themeColor="text1" w:themeTint="D8"/>
    </w:rPr>
  </w:style>
  <w:style w:type="paragraph" w:styleId="Title">
    <w:name w:val="Title"/>
    <w:basedOn w:val="Normal"/>
    <w:next w:val="Normal"/>
    <w:link w:val="TitleChar"/>
    <w:uiPriority w:val="10"/>
    <w:qFormat/>
    <w:rsid w:val="00C70C46"/>
    <w:pPr>
      <w:spacing w:after="80"/>
      <w:contextualSpacing/>
    </w:pPr>
    <w:rPr>
      <w:rFonts w:asciiTheme="majorHAnsi" w:eastAsiaTheme="majorEastAsia" w:hAnsiTheme="majorHAnsi" w:cstheme="majorBidi"/>
      <w:spacing w:val="-10"/>
      <w:kern w:val="28"/>
      <w:sz w:val="56"/>
      <w:szCs w:val="56"/>
      <w:lang w:val="nl-BE"/>
      <w14:ligatures w14:val="standardContextual"/>
    </w:rPr>
  </w:style>
  <w:style w:type="character" w:customStyle="1" w:styleId="TitleChar">
    <w:name w:val="Title Char"/>
    <w:basedOn w:val="DefaultParagraphFont"/>
    <w:link w:val="Title"/>
    <w:uiPriority w:val="10"/>
    <w:rsid w:val="00C70C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0C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nl-BE"/>
      <w14:ligatures w14:val="standardContextual"/>
    </w:rPr>
  </w:style>
  <w:style w:type="character" w:customStyle="1" w:styleId="SubtitleChar">
    <w:name w:val="Subtitle Char"/>
    <w:basedOn w:val="DefaultParagraphFont"/>
    <w:link w:val="Subtitle"/>
    <w:uiPriority w:val="11"/>
    <w:rsid w:val="00C70C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0C46"/>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nl-BE"/>
      <w14:ligatures w14:val="standardContextual"/>
    </w:rPr>
  </w:style>
  <w:style w:type="character" w:customStyle="1" w:styleId="QuoteChar">
    <w:name w:val="Quote Char"/>
    <w:basedOn w:val="DefaultParagraphFont"/>
    <w:link w:val="Quote"/>
    <w:uiPriority w:val="29"/>
    <w:rsid w:val="00C70C46"/>
    <w:rPr>
      <w:i/>
      <w:iCs/>
      <w:color w:val="404040" w:themeColor="text1" w:themeTint="BF"/>
    </w:rPr>
  </w:style>
  <w:style w:type="paragraph" w:styleId="ListParagraph">
    <w:name w:val="List Paragraph"/>
    <w:basedOn w:val="Normal"/>
    <w:uiPriority w:val="34"/>
    <w:qFormat/>
    <w:rsid w:val="00C70C46"/>
    <w:pPr>
      <w:spacing w:after="160" w:line="259" w:lineRule="auto"/>
      <w:ind w:left="720"/>
      <w:contextualSpacing/>
    </w:pPr>
    <w:rPr>
      <w:rFonts w:asciiTheme="minorHAnsi" w:eastAsiaTheme="minorHAnsi" w:hAnsiTheme="minorHAnsi" w:cstheme="minorBidi"/>
      <w:kern w:val="2"/>
      <w:sz w:val="22"/>
      <w:szCs w:val="22"/>
      <w:lang w:val="nl-BE"/>
      <w14:ligatures w14:val="standardContextual"/>
    </w:rPr>
  </w:style>
  <w:style w:type="character" w:styleId="IntenseEmphasis">
    <w:name w:val="Intense Emphasis"/>
    <w:basedOn w:val="DefaultParagraphFont"/>
    <w:uiPriority w:val="21"/>
    <w:qFormat/>
    <w:rsid w:val="00C70C46"/>
    <w:rPr>
      <w:i/>
      <w:iCs/>
      <w:color w:val="0F4761" w:themeColor="accent1" w:themeShade="BF"/>
    </w:rPr>
  </w:style>
  <w:style w:type="paragraph" w:styleId="IntenseQuote">
    <w:name w:val="Intense Quote"/>
    <w:basedOn w:val="Normal"/>
    <w:next w:val="Normal"/>
    <w:link w:val="IntenseQuoteChar"/>
    <w:uiPriority w:val="30"/>
    <w:qFormat/>
    <w:rsid w:val="00C70C4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val="nl-BE"/>
      <w14:ligatures w14:val="standardContextual"/>
    </w:rPr>
  </w:style>
  <w:style w:type="character" w:customStyle="1" w:styleId="IntenseQuoteChar">
    <w:name w:val="Intense Quote Char"/>
    <w:basedOn w:val="DefaultParagraphFont"/>
    <w:link w:val="IntenseQuote"/>
    <w:uiPriority w:val="30"/>
    <w:rsid w:val="00C70C46"/>
    <w:rPr>
      <w:i/>
      <w:iCs/>
      <w:color w:val="0F4761" w:themeColor="accent1" w:themeShade="BF"/>
    </w:rPr>
  </w:style>
  <w:style w:type="character" w:styleId="IntenseReference">
    <w:name w:val="Intense Reference"/>
    <w:basedOn w:val="DefaultParagraphFont"/>
    <w:uiPriority w:val="32"/>
    <w:qFormat/>
    <w:rsid w:val="00C70C46"/>
    <w:rPr>
      <w:b/>
      <w:bCs/>
      <w:smallCaps/>
      <w:color w:val="0F4761" w:themeColor="accent1" w:themeShade="BF"/>
      <w:spacing w:val="5"/>
    </w:rPr>
  </w:style>
  <w:style w:type="paragraph" w:customStyle="1" w:styleId="HoofdtekstA">
    <w:name w:val="Hoofdtekst A"/>
    <w:rsid w:val="00C70C46"/>
    <w:pPr>
      <w:spacing w:line="252" w:lineRule="auto"/>
    </w:pPr>
    <w:rPr>
      <w:rFonts w:ascii="Calibri" w:eastAsia="Arial Unicode MS" w:hAnsi="Calibri" w:cs="Arial Unicode MS"/>
      <w:color w:val="000000"/>
      <w:kern w:val="0"/>
      <w:u w:color="000000"/>
      <w:lang w:val="nl-NL" w:eastAsia="nl-BE"/>
      <w14:textOutline w14:w="12700" w14:cap="flat" w14:cmpd="sng" w14:algn="ctr">
        <w14:noFill/>
        <w14:prstDash w14:val="solid"/>
        <w14:miter w14:lim="100000"/>
      </w14:textOutline>
      <w14:ligatures w14:val="none"/>
    </w:rPr>
  </w:style>
  <w:style w:type="paragraph" w:styleId="NormalWeb">
    <w:name w:val="Normal (Web)"/>
    <w:basedOn w:val="Normal"/>
    <w:uiPriority w:val="99"/>
    <w:semiHidden/>
    <w:unhideWhenUsed/>
    <w:rsid w:val="00D7594D"/>
    <w:pPr>
      <w:spacing w:before="100" w:beforeAutospacing="1" w:after="100" w:afterAutospacing="1"/>
    </w:pPr>
    <w:rPr>
      <w:rFonts w:eastAsia="Times New Roman"/>
      <w:lang w:eastAsia="nl-BE"/>
    </w:rPr>
  </w:style>
  <w:style w:type="character" w:styleId="Hyperlink">
    <w:name w:val="Hyperlink"/>
    <w:semiHidden/>
    <w:unhideWhenUsed/>
    <w:rsid w:val="00D7594D"/>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92055">
      <w:bodyDiv w:val="1"/>
      <w:marLeft w:val="0"/>
      <w:marRight w:val="0"/>
      <w:marTop w:val="0"/>
      <w:marBottom w:val="0"/>
      <w:divBdr>
        <w:top w:val="none" w:sz="0" w:space="0" w:color="auto"/>
        <w:left w:val="none" w:sz="0" w:space="0" w:color="auto"/>
        <w:bottom w:val="none" w:sz="0" w:space="0" w:color="auto"/>
        <w:right w:val="none" w:sz="0" w:space="0" w:color="auto"/>
      </w:divBdr>
      <w:divsChild>
        <w:div w:id="1075008412">
          <w:marLeft w:val="274"/>
          <w:marRight w:val="0"/>
          <w:marTop w:val="0"/>
          <w:marBottom w:val="0"/>
          <w:divBdr>
            <w:top w:val="none" w:sz="0" w:space="0" w:color="auto"/>
            <w:left w:val="none" w:sz="0" w:space="0" w:color="auto"/>
            <w:bottom w:val="none" w:sz="0" w:space="0" w:color="auto"/>
            <w:right w:val="none" w:sz="0" w:space="0" w:color="auto"/>
          </w:divBdr>
        </w:div>
        <w:div w:id="430662819">
          <w:marLeft w:val="274"/>
          <w:marRight w:val="0"/>
          <w:marTop w:val="0"/>
          <w:marBottom w:val="0"/>
          <w:divBdr>
            <w:top w:val="none" w:sz="0" w:space="0" w:color="auto"/>
            <w:left w:val="none" w:sz="0" w:space="0" w:color="auto"/>
            <w:bottom w:val="none" w:sz="0" w:space="0" w:color="auto"/>
            <w:right w:val="none" w:sz="0" w:space="0" w:color="auto"/>
          </w:divBdr>
        </w:div>
        <w:div w:id="1627736002">
          <w:marLeft w:val="274"/>
          <w:marRight w:val="0"/>
          <w:marTop w:val="0"/>
          <w:marBottom w:val="0"/>
          <w:divBdr>
            <w:top w:val="none" w:sz="0" w:space="0" w:color="auto"/>
            <w:left w:val="none" w:sz="0" w:space="0" w:color="auto"/>
            <w:bottom w:val="none" w:sz="0" w:space="0" w:color="auto"/>
            <w:right w:val="none" w:sz="0" w:space="0" w:color="auto"/>
          </w:divBdr>
        </w:div>
        <w:div w:id="2023625394">
          <w:marLeft w:val="274"/>
          <w:marRight w:val="0"/>
          <w:marTop w:val="0"/>
          <w:marBottom w:val="0"/>
          <w:divBdr>
            <w:top w:val="none" w:sz="0" w:space="0" w:color="auto"/>
            <w:left w:val="none" w:sz="0" w:space="0" w:color="auto"/>
            <w:bottom w:val="none" w:sz="0" w:space="0" w:color="auto"/>
            <w:right w:val="none" w:sz="0" w:space="0" w:color="auto"/>
          </w:divBdr>
        </w:div>
        <w:div w:id="249235356">
          <w:marLeft w:val="274"/>
          <w:marRight w:val="0"/>
          <w:marTop w:val="0"/>
          <w:marBottom w:val="0"/>
          <w:divBdr>
            <w:top w:val="none" w:sz="0" w:space="0" w:color="auto"/>
            <w:left w:val="none" w:sz="0" w:space="0" w:color="auto"/>
            <w:bottom w:val="none" w:sz="0" w:space="0" w:color="auto"/>
            <w:right w:val="none" w:sz="0" w:space="0" w:color="auto"/>
          </w:divBdr>
        </w:div>
      </w:divsChild>
    </w:div>
    <w:div w:id="100608477">
      <w:bodyDiv w:val="1"/>
      <w:marLeft w:val="0"/>
      <w:marRight w:val="0"/>
      <w:marTop w:val="0"/>
      <w:marBottom w:val="0"/>
      <w:divBdr>
        <w:top w:val="none" w:sz="0" w:space="0" w:color="auto"/>
        <w:left w:val="none" w:sz="0" w:space="0" w:color="auto"/>
        <w:bottom w:val="none" w:sz="0" w:space="0" w:color="auto"/>
        <w:right w:val="none" w:sz="0" w:space="0" w:color="auto"/>
      </w:divBdr>
      <w:divsChild>
        <w:div w:id="1415274287">
          <w:marLeft w:val="274"/>
          <w:marRight w:val="0"/>
          <w:marTop w:val="0"/>
          <w:marBottom w:val="0"/>
          <w:divBdr>
            <w:top w:val="none" w:sz="0" w:space="0" w:color="auto"/>
            <w:left w:val="none" w:sz="0" w:space="0" w:color="auto"/>
            <w:bottom w:val="none" w:sz="0" w:space="0" w:color="auto"/>
            <w:right w:val="none" w:sz="0" w:space="0" w:color="auto"/>
          </w:divBdr>
        </w:div>
        <w:div w:id="1270627641">
          <w:marLeft w:val="274"/>
          <w:marRight w:val="0"/>
          <w:marTop w:val="0"/>
          <w:marBottom w:val="0"/>
          <w:divBdr>
            <w:top w:val="none" w:sz="0" w:space="0" w:color="auto"/>
            <w:left w:val="none" w:sz="0" w:space="0" w:color="auto"/>
            <w:bottom w:val="none" w:sz="0" w:space="0" w:color="auto"/>
            <w:right w:val="none" w:sz="0" w:space="0" w:color="auto"/>
          </w:divBdr>
        </w:div>
        <w:div w:id="1340111134">
          <w:marLeft w:val="994"/>
          <w:marRight w:val="0"/>
          <w:marTop w:val="0"/>
          <w:marBottom w:val="0"/>
          <w:divBdr>
            <w:top w:val="none" w:sz="0" w:space="0" w:color="auto"/>
            <w:left w:val="none" w:sz="0" w:space="0" w:color="auto"/>
            <w:bottom w:val="none" w:sz="0" w:space="0" w:color="auto"/>
            <w:right w:val="none" w:sz="0" w:space="0" w:color="auto"/>
          </w:divBdr>
        </w:div>
        <w:div w:id="1247038366">
          <w:marLeft w:val="994"/>
          <w:marRight w:val="0"/>
          <w:marTop w:val="0"/>
          <w:marBottom w:val="0"/>
          <w:divBdr>
            <w:top w:val="none" w:sz="0" w:space="0" w:color="auto"/>
            <w:left w:val="none" w:sz="0" w:space="0" w:color="auto"/>
            <w:bottom w:val="none" w:sz="0" w:space="0" w:color="auto"/>
            <w:right w:val="none" w:sz="0" w:space="0" w:color="auto"/>
          </w:divBdr>
        </w:div>
        <w:div w:id="1574849415">
          <w:marLeft w:val="994"/>
          <w:marRight w:val="0"/>
          <w:marTop w:val="0"/>
          <w:marBottom w:val="0"/>
          <w:divBdr>
            <w:top w:val="none" w:sz="0" w:space="0" w:color="auto"/>
            <w:left w:val="none" w:sz="0" w:space="0" w:color="auto"/>
            <w:bottom w:val="none" w:sz="0" w:space="0" w:color="auto"/>
            <w:right w:val="none" w:sz="0" w:space="0" w:color="auto"/>
          </w:divBdr>
        </w:div>
        <w:div w:id="2009286044">
          <w:marLeft w:val="274"/>
          <w:marRight w:val="0"/>
          <w:marTop w:val="0"/>
          <w:marBottom w:val="0"/>
          <w:divBdr>
            <w:top w:val="none" w:sz="0" w:space="0" w:color="auto"/>
            <w:left w:val="none" w:sz="0" w:space="0" w:color="auto"/>
            <w:bottom w:val="none" w:sz="0" w:space="0" w:color="auto"/>
            <w:right w:val="none" w:sz="0" w:space="0" w:color="auto"/>
          </w:divBdr>
        </w:div>
        <w:div w:id="1056974201">
          <w:marLeft w:val="994"/>
          <w:marRight w:val="0"/>
          <w:marTop w:val="0"/>
          <w:marBottom w:val="0"/>
          <w:divBdr>
            <w:top w:val="none" w:sz="0" w:space="0" w:color="auto"/>
            <w:left w:val="none" w:sz="0" w:space="0" w:color="auto"/>
            <w:bottom w:val="none" w:sz="0" w:space="0" w:color="auto"/>
            <w:right w:val="none" w:sz="0" w:space="0" w:color="auto"/>
          </w:divBdr>
        </w:div>
        <w:div w:id="1316030328">
          <w:marLeft w:val="994"/>
          <w:marRight w:val="0"/>
          <w:marTop w:val="0"/>
          <w:marBottom w:val="0"/>
          <w:divBdr>
            <w:top w:val="none" w:sz="0" w:space="0" w:color="auto"/>
            <w:left w:val="none" w:sz="0" w:space="0" w:color="auto"/>
            <w:bottom w:val="none" w:sz="0" w:space="0" w:color="auto"/>
            <w:right w:val="none" w:sz="0" w:space="0" w:color="auto"/>
          </w:divBdr>
        </w:div>
        <w:div w:id="986134068">
          <w:marLeft w:val="994"/>
          <w:marRight w:val="0"/>
          <w:marTop w:val="0"/>
          <w:marBottom w:val="0"/>
          <w:divBdr>
            <w:top w:val="none" w:sz="0" w:space="0" w:color="auto"/>
            <w:left w:val="none" w:sz="0" w:space="0" w:color="auto"/>
            <w:bottom w:val="none" w:sz="0" w:space="0" w:color="auto"/>
            <w:right w:val="none" w:sz="0" w:space="0" w:color="auto"/>
          </w:divBdr>
        </w:div>
        <w:div w:id="2005162986">
          <w:marLeft w:val="274"/>
          <w:marRight w:val="0"/>
          <w:marTop w:val="0"/>
          <w:marBottom w:val="0"/>
          <w:divBdr>
            <w:top w:val="none" w:sz="0" w:space="0" w:color="auto"/>
            <w:left w:val="none" w:sz="0" w:space="0" w:color="auto"/>
            <w:bottom w:val="none" w:sz="0" w:space="0" w:color="auto"/>
            <w:right w:val="none" w:sz="0" w:space="0" w:color="auto"/>
          </w:divBdr>
        </w:div>
        <w:div w:id="845368612">
          <w:marLeft w:val="274"/>
          <w:marRight w:val="0"/>
          <w:marTop w:val="0"/>
          <w:marBottom w:val="0"/>
          <w:divBdr>
            <w:top w:val="none" w:sz="0" w:space="0" w:color="auto"/>
            <w:left w:val="none" w:sz="0" w:space="0" w:color="auto"/>
            <w:bottom w:val="none" w:sz="0" w:space="0" w:color="auto"/>
            <w:right w:val="none" w:sz="0" w:space="0" w:color="auto"/>
          </w:divBdr>
        </w:div>
      </w:divsChild>
    </w:div>
    <w:div w:id="160590401">
      <w:bodyDiv w:val="1"/>
      <w:marLeft w:val="0"/>
      <w:marRight w:val="0"/>
      <w:marTop w:val="0"/>
      <w:marBottom w:val="0"/>
      <w:divBdr>
        <w:top w:val="none" w:sz="0" w:space="0" w:color="auto"/>
        <w:left w:val="none" w:sz="0" w:space="0" w:color="auto"/>
        <w:bottom w:val="none" w:sz="0" w:space="0" w:color="auto"/>
        <w:right w:val="none" w:sz="0" w:space="0" w:color="auto"/>
      </w:divBdr>
      <w:divsChild>
        <w:div w:id="158276333">
          <w:marLeft w:val="274"/>
          <w:marRight w:val="0"/>
          <w:marTop w:val="0"/>
          <w:marBottom w:val="127"/>
          <w:divBdr>
            <w:top w:val="none" w:sz="0" w:space="0" w:color="auto"/>
            <w:left w:val="none" w:sz="0" w:space="0" w:color="auto"/>
            <w:bottom w:val="none" w:sz="0" w:space="0" w:color="auto"/>
            <w:right w:val="none" w:sz="0" w:space="0" w:color="auto"/>
          </w:divBdr>
        </w:div>
      </w:divsChild>
    </w:div>
    <w:div w:id="168520272">
      <w:bodyDiv w:val="1"/>
      <w:marLeft w:val="0"/>
      <w:marRight w:val="0"/>
      <w:marTop w:val="0"/>
      <w:marBottom w:val="0"/>
      <w:divBdr>
        <w:top w:val="none" w:sz="0" w:space="0" w:color="auto"/>
        <w:left w:val="none" w:sz="0" w:space="0" w:color="auto"/>
        <w:bottom w:val="none" w:sz="0" w:space="0" w:color="auto"/>
        <w:right w:val="none" w:sz="0" w:space="0" w:color="auto"/>
      </w:divBdr>
    </w:div>
    <w:div w:id="175314973">
      <w:bodyDiv w:val="1"/>
      <w:marLeft w:val="0"/>
      <w:marRight w:val="0"/>
      <w:marTop w:val="0"/>
      <w:marBottom w:val="0"/>
      <w:divBdr>
        <w:top w:val="none" w:sz="0" w:space="0" w:color="auto"/>
        <w:left w:val="none" w:sz="0" w:space="0" w:color="auto"/>
        <w:bottom w:val="none" w:sz="0" w:space="0" w:color="auto"/>
        <w:right w:val="none" w:sz="0" w:space="0" w:color="auto"/>
      </w:divBdr>
      <w:divsChild>
        <w:div w:id="1883319082">
          <w:marLeft w:val="274"/>
          <w:marRight w:val="0"/>
          <w:marTop w:val="0"/>
          <w:marBottom w:val="0"/>
          <w:divBdr>
            <w:top w:val="none" w:sz="0" w:space="0" w:color="auto"/>
            <w:left w:val="none" w:sz="0" w:space="0" w:color="auto"/>
            <w:bottom w:val="none" w:sz="0" w:space="0" w:color="auto"/>
            <w:right w:val="none" w:sz="0" w:space="0" w:color="auto"/>
          </w:divBdr>
        </w:div>
        <w:div w:id="1305354611">
          <w:marLeft w:val="994"/>
          <w:marRight w:val="0"/>
          <w:marTop w:val="0"/>
          <w:marBottom w:val="0"/>
          <w:divBdr>
            <w:top w:val="none" w:sz="0" w:space="0" w:color="auto"/>
            <w:left w:val="none" w:sz="0" w:space="0" w:color="auto"/>
            <w:bottom w:val="none" w:sz="0" w:space="0" w:color="auto"/>
            <w:right w:val="none" w:sz="0" w:space="0" w:color="auto"/>
          </w:divBdr>
        </w:div>
        <w:div w:id="540754538">
          <w:marLeft w:val="994"/>
          <w:marRight w:val="0"/>
          <w:marTop w:val="0"/>
          <w:marBottom w:val="0"/>
          <w:divBdr>
            <w:top w:val="none" w:sz="0" w:space="0" w:color="auto"/>
            <w:left w:val="none" w:sz="0" w:space="0" w:color="auto"/>
            <w:bottom w:val="none" w:sz="0" w:space="0" w:color="auto"/>
            <w:right w:val="none" w:sz="0" w:space="0" w:color="auto"/>
          </w:divBdr>
        </w:div>
        <w:div w:id="429669435">
          <w:marLeft w:val="994"/>
          <w:marRight w:val="0"/>
          <w:marTop w:val="0"/>
          <w:marBottom w:val="0"/>
          <w:divBdr>
            <w:top w:val="none" w:sz="0" w:space="0" w:color="auto"/>
            <w:left w:val="none" w:sz="0" w:space="0" w:color="auto"/>
            <w:bottom w:val="none" w:sz="0" w:space="0" w:color="auto"/>
            <w:right w:val="none" w:sz="0" w:space="0" w:color="auto"/>
          </w:divBdr>
        </w:div>
        <w:div w:id="860900416">
          <w:marLeft w:val="994"/>
          <w:marRight w:val="0"/>
          <w:marTop w:val="0"/>
          <w:marBottom w:val="0"/>
          <w:divBdr>
            <w:top w:val="none" w:sz="0" w:space="0" w:color="auto"/>
            <w:left w:val="none" w:sz="0" w:space="0" w:color="auto"/>
            <w:bottom w:val="none" w:sz="0" w:space="0" w:color="auto"/>
            <w:right w:val="none" w:sz="0" w:space="0" w:color="auto"/>
          </w:divBdr>
        </w:div>
        <w:div w:id="326177512">
          <w:marLeft w:val="994"/>
          <w:marRight w:val="0"/>
          <w:marTop w:val="0"/>
          <w:marBottom w:val="0"/>
          <w:divBdr>
            <w:top w:val="none" w:sz="0" w:space="0" w:color="auto"/>
            <w:left w:val="none" w:sz="0" w:space="0" w:color="auto"/>
            <w:bottom w:val="none" w:sz="0" w:space="0" w:color="auto"/>
            <w:right w:val="none" w:sz="0" w:space="0" w:color="auto"/>
          </w:divBdr>
        </w:div>
        <w:div w:id="463275362">
          <w:marLeft w:val="994"/>
          <w:marRight w:val="0"/>
          <w:marTop w:val="0"/>
          <w:marBottom w:val="0"/>
          <w:divBdr>
            <w:top w:val="none" w:sz="0" w:space="0" w:color="auto"/>
            <w:left w:val="none" w:sz="0" w:space="0" w:color="auto"/>
            <w:bottom w:val="none" w:sz="0" w:space="0" w:color="auto"/>
            <w:right w:val="none" w:sz="0" w:space="0" w:color="auto"/>
          </w:divBdr>
        </w:div>
        <w:div w:id="1858694276">
          <w:marLeft w:val="994"/>
          <w:marRight w:val="0"/>
          <w:marTop w:val="0"/>
          <w:marBottom w:val="0"/>
          <w:divBdr>
            <w:top w:val="none" w:sz="0" w:space="0" w:color="auto"/>
            <w:left w:val="none" w:sz="0" w:space="0" w:color="auto"/>
            <w:bottom w:val="none" w:sz="0" w:space="0" w:color="auto"/>
            <w:right w:val="none" w:sz="0" w:space="0" w:color="auto"/>
          </w:divBdr>
        </w:div>
        <w:div w:id="1532645671">
          <w:marLeft w:val="994"/>
          <w:marRight w:val="0"/>
          <w:marTop w:val="0"/>
          <w:marBottom w:val="0"/>
          <w:divBdr>
            <w:top w:val="none" w:sz="0" w:space="0" w:color="auto"/>
            <w:left w:val="none" w:sz="0" w:space="0" w:color="auto"/>
            <w:bottom w:val="none" w:sz="0" w:space="0" w:color="auto"/>
            <w:right w:val="none" w:sz="0" w:space="0" w:color="auto"/>
          </w:divBdr>
        </w:div>
        <w:div w:id="796529138">
          <w:marLeft w:val="274"/>
          <w:marRight w:val="0"/>
          <w:marTop w:val="0"/>
          <w:marBottom w:val="0"/>
          <w:divBdr>
            <w:top w:val="none" w:sz="0" w:space="0" w:color="auto"/>
            <w:left w:val="none" w:sz="0" w:space="0" w:color="auto"/>
            <w:bottom w:val="none" w:sz="0" w:space="0" w:color="auto"/>
            <w:right w:val="none" w:sz="0" w:space="0" w:color="auto"/>
          </w:divBdr>
        </w:div>
        <w:div w:id="573705767">
          <w:marLeft w:val="994"/>
          <w:marRight w:val="0"/>
          <w:marTop w:val="0"/>
          <w:marBottom w:val="0"/>
          <w:divBdr>
            <w:top w:val="none" w:sz="0" w:space="0" w:color="auto"/>
            <w:left w:val="none" w:sz="0" w:space="0" w:color="auto"/>
            <w:bottom w:val="none" w:sz="0" w:space="0" w:color="auto"/>
            <w:right w:val="none" w:sz="0" w:space="0" w:color="auto"/>
          </w:divBdr>
        </w:div>
        <w:div w:id="529074559">
          <w:marLeft w:val="994"/>
          <w:marRight w:val="0"/>
          <w:marTop w:val="0"/>
          <w:marBottom w:val="0"/>
          <w:divBdr>
            <w:top w:val="none" w:sz="0" w:space="0" w:color="auto"/>
            <w:left w:val="none" w:sz="0" w:space="0" w:color="auto"/>
            <w:bottom w:val="none" w:sz="0" w:space="0" w:color="auto"/>
            <w:right w:val="none" w:sz="0" w:space="0" w:color="auto"/>
          </w:divBdr>
        </w:div>
        <w:div w:id="364603540">
          <w:marLeft w:val="994"/>
          <w:marRight w:val="0"/>
          <w:marTop w:val="0"/>
          <w:marBottom w:val="0"/>
          <w:divBdr>
            <w:top w:val="none" w:sz="0" w:space="0" w:color="auto"/>
            <w:left w:val="none" w:sz="0" w:space="0" w:color="auto"/>
            <w:bottom w:val="none" w:sz="0" w:space="0" w:color="auto"/>
            <w:right w:val="none" w:sz="0" w:space="0" w:color="auto"/>
          </w:divBdr>
        </w:div>
      </w:divsChild>
    </w:div>
    <w:div w:id="248000109">
      <w:bodyDiv w:val="1"/>
      <w:marLeft w:val="0"/>
      <w:marRight w:val="0"/>
      <w:marTop w:val="0"/>
      <w:marBottom w:val="0"/>
      <w:divBdr>
        <w:top w:val="none" w:sz="0" w:space="0" w:color="auto"/>
        <w:left w:val="none" w:sz="0" w:space="0" w:color="auto"/>
        <w:bottom w:val="none" w:sz="0" w:space="0" w:color="auto"/>
        <w:right w:val="none" w:sz="0" w:space="0" w:color="auto"/>
      </w:divBdr>
    </w:div>
    <w:div w:id="252279918">
      <w:bodyDiv w:val="1"/>
      <w:marLeft w:val="0"/>
      <w:marRight w:val="0"/>
      <w:marTop w:val="0"/>
      <w:marBottom w:val="0"/>
      <w:divBdr>
        <w:top w:val="none" w:sz="0" w:space="0" w:color="auto"/>
        <w:left w:val="none" w:sz="0" w:space="0" w:color="auto"/>
        <w:bottom w:val="none" w:sz="0" w:space="0" w:color="auto"/>
        <w:right w:val="none" w:sz="0" w:space="0" w:color="auto"/>
      </w:divBdr>
      <w:divsChild>
        <w:div w:id="855074267">
          <w:marLeft w:val="274"/>
          <w:marRight w:val="0"/>
          <w:marTop w:val="0"/>
          <w:marBottom w:val="0"/>
          <w:divBdr>
            <w:top w:val="none" w:sz="0" w:space="0" w:color="auto"/>
            <w:left w:val="none" w:sz="0" w:space="0" w:color="auto"/>
            <w:bottom w:val="none" w:sz="0" w:space="0" w:color="auto"/>
            <w:right w:val="none" w:sz="0" w:space="0" w:color="auto"/>
          </w:divBdr>
        </w:div>
        <w:div w:id="862085826">
          <w:marLeft w:val="274"/>
          <w:marRight w:val="0"/>
          <w:marTop w:val="0"/>
          <w:marBottom w:val="0"/>
          <w:divBdr>
            <w:top w:val="none" w:sz="0" w:space="0" w:color="auto"/>
            <w:left w:val="none" w:sz="0" w:space="0" w:color="auto"/>
            <w:bottom w:val="none" w:sz="0" w:space="0" w:color="auto"/>
            <w:right w:val="none" w:sz="0" w:space="0" w:color="auto"/>
          </w:divBdr>
        </w:div>
        <w:div w:id="468936299">
          <w:marLeft w:val="720"/>
          <w:marRight w:val="0"/>
          <w:marTop w:val="0"/>
          <w:marBottom w:val="0"/>
          <w:divBdr>
            <w:top w:val="none" w:sz="0" w:space="0" w:color="auto"/>
            <w:left w:val="none" w:sz="0" w:space="0" w:color="auto"/>
            <w:bottom w:val="none" w:sz="0" w:space="0" w:color="auto"/>
            <w:right w:val="none" w:sz="0" w:space="0" w:color="auto"/>
          </w:divBdr>
        </w:div>
        <w:div w:id="928345924">
          <w:marLeft w:val="720"/>
          <w:marRight w:val="0"/>
          <w:marTop w:val="0"/>
          <w:marBottom w:val="0"/>
          <w:divBdr>
            <w:top w:val="none" w:sz="0" w:space="0" w:color="auto"/>
            <w:left w:val="none" w:sz="0" w:space="0" w:color="auto"/>
            <w:bottom w:val="none" w:sz="0" w:space="0" w:color="auto"/>
            <w:right w:val="none" w:sz="0" w:space="0" w:color="auto"/>
          </w:divBdr>
        </w:div>
        <w:div w:id="2124684115">
          <w:marLeft w:val="274"/>
          <w:marRight w:val="0"/>
          <w:marTop w:val="0"/>
          <w:marBottom w:val="0"/>
          <w:divBdr>
            <w:top w:val="none" w:sz="0" w:space="0" w:color="auto"/>
            <w:left w:val="none" w:sz="0" w:space="0" w:color="auto"/>
            <w:bottom w:val="none" w:sz="0" w:space="0" w:color="auto"/>
            <w:right w:val="none" w:sz="0" w:space="0" w:color="auto"/>
          </w:divBdr>
        </w:div>
        <w:div w:id="1148285270">
          <w:marLeft w:val="720"/>
          <w:marRight w:val="0"/>
          <w:marTop w:val="0"/>
          <w:marBottom w:val="0"/>
          <w:divBdr>
            <w:top w:val="none" w:sz="0" w:space="0" w:color="auto"/>
            <w:left w:val="none" w:sz="0" w:space="0" w:color="auto"/>
            <w:bottom w:val="none" w:sz="0" w:space="0" w:color="auto"/>
            <w:right w:val="none" w:sz="0" w:space="0" w:color="auto"/>
          </w:divBdr>
        </w:div>
        <w:div w:id="2130775702">
          <w:marLeft w:val="720"/>
          <w:marRight w:val="0"/>
          <w:marTop w:val="0"/>
          <w:marBottom w:val="0"/>
          <w:divBdr>
            <w:top w:val="none" w:sz="0" w:space="0" w:color="auto"/>
            <w:left w:val="none" w:sz="0" w:space="0" w:color="auto"/>
            <w:bottom w:val="none" w:sz="0" w:space="0" w:color="auto"/>
            <w:right w:val="none" w:sz="0" w:space="0" w:color="auto"/>
          </w:divBdr>
        </w:div>
      </w:divsChild>
    </w:div>
    <w:div w:id="317655648">
      <w:bodyDiv w:val="1"/>
      <w:marLeft w:val="0"/>
      <w:marRight w:val="0"/>
      <w:marTop w:val="0"/>
      <w:marBottom w:val="0"/>
      <w:divBdr>
        <w:top w:val="none" w:sz="0" w:space="0" w:color="auto"/>
        <w:left w:val="none" w:sz="0" w:space="0" w:color="auto"/>
        <w:bottom w:val="none" w:sz="0" w:space="0" w:color="auto"/>
        <w:right w:val="none" w:sz="0" w:space="0" w:color="auto"/>
      </w:divBdr>
    </w:div>
    <w:div w:id="487019795">
      <w:bodyDiv w:val="1"/>
      <w:marLeft w:val="0"/>
      <w:marRight w:val="0"/>
      <w:marTop w:val="0"/>
      <w:marBottom w:val="0"/>
      <w:divBdr>
        <w:top w:val="none" w:sz="0" w:space="0" w:color="auto"/>
        <w:left w:val="none" w:sz="0" w:space="0" w:color="auto"/>
        <w:bottom w:val="none" w:sz="0" w:space="0" w:color="auto"/>
        <w:right w:val="none" w:sz="0" w:space="0" w:color="auto"/>
      </w:divBdr>
      <w:divsChild>
        <w:div w:id="1450395997">
          <w:marLeft w:val="274"/>
          <w:marRight w:val="0"/>
          <w:marTop w:val="0"/>
          <w:marBottom w:val="0"/>
          <w:divBdr>
            <w:top w:val="none" w:sz="0" w:space="0" w:color="auto"/>
            <w:left w:val="none" w:sz="0" w:space="0" w:color="auto"/>
            <w:bottom w:val="none" w:sz="0" w:space="0" w:color="auto"/>
            <w:right w:val="none" w:sz="0" w:space="0" w:color="auto"/>
          </w:divBdr>
        </w:div>
        <w:div w:id="821770449">
          <w:marLeft w:val="274"/>
          <w:marRight w:val="0"/>
          <w:marTop w:val="0"/>
          <w:marBottom w:val="0"/>
          <w:divBdr>
            <w:top w:val="none" w:sz="0" w:space="0" w:color="auto"/>
            <w:left w:val="none" w:sz="0" w:space="0" w:color="auto"/>
            <w:bottom w:val="none" w:sz="0" w:space="0" w:color="auto"/>
            <w:right w:val="none" w:sz="0" w:space="0" w:color="auto"/>
          </w:divBdr>
        </w:div>
        <w:div w:id="84616943">
          <w:marLeft w:val="274"/>
          <w:marRight w:val="0"/>
          <w:marTop w:val="0"/>
          <w:marBottom w:val="0"/>
          <w:divBdr>
            <w:top w:val="none" w:sz="0" w:space="0" w:color="auto"/>
            <w:left w:val="none" w:sz="0" w:space="0" w:color="auto"/>
            <w:bottom w:val="none" w:sz="0" w:space="0" w:color="auto"/>
            <w:right w:val="none" w:sz="0" w:space="0" w:color="auto"/>
          </w:divBdr>
        </w:div>
        <w:div w:id="1519462891">
          <w:marLeft w:val="274"/>
          <w:marRight w:val="0"/>
          <w:marTop w:val="0"/>
          <w:marBottom w:val="0"/>
          <w:divBdr>
            <w:top w:val="none" w:sz="0" w:space="0" w:color="auto"/>
            <w:left w:val="none" w:sz="0" w:space="0" w:color="auto"/>
            <w:bottom w:val="none" w:sz="0" w:space="0" w:color="auto"/>
            <w:right w:val="none" w:sz="0" w:space="0" w:color="auto"/>
          </w:divBdr>
        </w:div>
        <w:div w:id="1149174658">
          <w:marLeft w:val="274"/>
          <w:marRight w:val="0"/>
          <w:marTop w:val="0"/>
          <w:marBottom w:val="0"/>
          <w:divBdr>
            <w:top w:val="none" w:sz="0" w:space="0" w:color="auto"/>
            <w:left w:val="none" w:sz="0" w:space="0" w:color="auto"/>
            <w:bottom w:val="none" w:sz="0" w:space="0" w:color="auto"/>
            <w:right w:val="none" w:sz="0" w:space="0" w:color="auto"/>
          </w:divBdr>
        </w:div>
      </w:divsChild>
    </w:div>
    <w:div w:id="517234550">
      <w:bodyDiv w:val="1"/>
      <w:marLeft w:val="0"/>
      <w:marRight w:val="0"/>
      <w:marTop w:val="0"/>
      <w:marBottom w:val="0"/>
      <w:divBdr>
        <w:top w:val="none" w:sz="0" w:space="0" w:color="auto"/>
        <w:left w:val="none" w:sz="0" w:space="0" w:color="auto"/>
        <w:bottom w:val="none" w:sz="0" w:space="0" w:color="auto"/>
        <w:right w:val="none" w:sz="0" w:space="0" w:color="auto"/>
      </w:divBdr>
    </w:div>
    <w:div w:id="707296225">
      <w:bodyDiv w:val="1"/>
      <w:marLeft w:val="0"/>
      <w:marRight w:val="0"/>
      <w:marTop w:val="0"/>
      <w:marBottom w:val="0"/>
      <w:divBdr>
        <w:top w:val="none" w:sz="0" w:space="0" w:color="auto"/>
        <w:left w:val="none" w:sz="0" w:space="0" w:color="auto"/>
        <w:bottom w:val="none" w:sz="0" w:space="0" w:color="auto"/>
        <w:right w:val="none" w:sz="0" w:space="0" w:color="auto"/>
      </w:divBdr>
      <w:divsChild>
        <w:div w:id="494224090">
          <w:marLeft w:val="274"/>
          <w:marRight w:val="0"/>
          <w:marTop w:val="0"/>
          <w:marBottom w:val="0"/>
          <w:divBdr>
            <w:top w:val="none" w:sz="0" w:space="0" w:color="auto"/>
            <w:left w:val="none" w:sz="0" w:space="0" w:color="auto"/>
            <w:bottom w:val="none" w:sz="0" w:space="0" w:color="auto"/>
            <w:right w:val="none" w:sz="0" w:space="0" w:color="auto"/>
          </w:divBdr>
        </w:div>
        <w:div w:id="1743722470">
          <w:marLeft w:val="274"/>
          <w:marRight w:val="0"/>
          <w:marTop w:val="0"/>
          <w:marBottom w:val="0"/>
          <w:divBdr>
            <w:top w:val="none" w:sz="0" w:space="0" w:color="auto"/>
            <w:left w:val="none" w:sz="0" w:space="0" w:color="auto"/>
            <w:bottom w:val="none" w:sz="0" w:space="0" w:color="auto"/>
            <w:right w:val="none" w:sz="0" w:space="0" w:color="auto"/>
          </w:divBdr>
        </w:div>
        <w:div w:id="1752967948">
          <w:marLeft w:val="274"/>
          <w:marRight w:val="0"/>
          <w:marTop w:val="0"/>
          <w:marBottom w:val="0"/>
          <w:divBdr>
            <w:top w:val="none" w:sz="0" w:space="0" w:color="auto"/>
            <w:left w:val="none" w:sz="0" w:space="0" w:color="auto"/>
            <w:bottom w:val="none" w:sz="0" w:space="0" w:color="auto"/>
            <w:right w:val="none" w:sz="0" w:space="0" w:color="auto"/>
          </w:divBdr>
        </w:div>
        <w:div w:id="1049915614">
          <w:marLeft w:val="274"/>
          <w:marRight w:val="0"/>
          <w:marTop w:val="0"/>
          <w:marBottom w:val="0"/>
          <w:divBdr>
            <w:top w:val="none" w:sz="0" w:space="0" w:color="auto"/>
            <w:left w:val="none" w:sz="0" w:space="0" w:color="auto"/>
            <w:bottom w:val="none" w:sz="0" w:space="0" w:color="auto"/>
            <w:right w:val="none" w:sz="0" w:space="0" w:color="auto"/>
          </w:divBdr>
        </w:div>
        <w:div w:id="830216401">
          <w:marLeft w:val="274"/>
          <w:marRight w:val="0"/>
          <w:marTop w:val="0"/>
          <w:marBottom w:val="0"/>
          <w:divBdr>
            <w:top w:val="none" w:sz="0" w:space="0" w:color="auto"/>
            <w:left w:val="none" w:sz="0" w:space="0" w:color="auto"/>
            <w:bottom w:val="none" w:sz="0" w:space="0" w:color="auto"/>
            <w:right w:val="none" w:sz="0" w:space="0" w:color="auto"/>
          </w:divBdr>
        </w:div>
      </w:divsChild>
    </w:div>
    <w:div w:id="734666516">
      <w:bodyDiv w:val="1"/>
      <w:marLeft w:val="0"/>
      <w:marRight w:val="0"/>
      <w:marTop w:val="0"/>
      <w:marBottom w:val="0"/>
      <w:divBdr>
        <w:top w:val="none" w:sz="0" w:space="0" w:color="auto"/>
        <w:left w:val="none" w:sz="0" w:space="0" w:color="auto"/>
        <w:bottom w:val="none" w:sz="0" w:space="0" w:color="auto"/>
        <w:right w:val="none" w:sz="0" w:space="0" w:color="auto"/>
      </w:divBdr>
      <w:divsChild>
        <w:div w:id="45380827">
          <w:marLeft w:val="274"/>
          <w:marRight w:val="0"/>
          <w:marTop w:val="21"/>
          <w:marBottom w:val="127"/>
          <w:divBdr>
            <w:top w:val="none" w:sz="0" w:space="0" w:color="auto"/>
            <w:left w:val="none" w:sz="0" w:space="0" w:color="auto"/>
            <w:bottom w:val="none" w:sz="0" w:space="0" w:color="auto"/>
            <w:right w:val="none" w:sz="0" w:space="0" w:color="auto"/>
          </w:divBdr>
        </w:div>
        <w:div w:id="2017490119">
          <w:marLeft w:val="274"/>
          <w:marRight w:val="0"/>
          <w:marTop w:val="21"/>
          <w:marBottom w:val="127"/>
          <w:divBdr>
            <w:top w:val="none" w:sz="0" w:space="0" w:color="auto"/>
            <w:left w:val="none" w:sz="0" w:space="0" w:color="auto"/>
            <w:bottom w:val="none" w:sz="0" w:space="0" w:color="auto"/>
            <w:right w:val="none" w:sz="0" w:space="0" w:color="auto"/>
          </w:divBdr>
        </w:div>
      </w:divsChild>
    </w:div>
    <w:div w:id="749041617">
      <w:bodyDiv w:val="1"/>
      <w:marLeft w:val="0"/>
      <w:marRight w:val="0"/>
      <w:marTop w:val="0"/>
      <w:marBottom w:val="0"/>
      <w:divBdr>
        <w:top w:val="none" w:sz="0" w:space="0" w:color="auto"/>
        <w:left w:val="none" w:sz="0" w:space="0" w:color="auto"/>
        <w:bottom w:val="none" w:sz="0" w:space="0" w:color="auto"/>
        <w:right w:val="none" w:sz="0" w:space="0" w:color="auto"/>
      </w:divBdr>
    </w:div>
    <w:div w:id="1082683397">
      <w:bodyDiv w:val="1"/>
      <w:marLeft w:val="0"/>
      <w:marRight w:val="0"/>
      <w:marTop w:val="0"/>
      <w:marBottom w:val="0"/>
      <w:divBdr>
        <w:top w:val="none" w:sz="0" w:space="0" w:color="auto"/>
        <w:left w:val="none" w:sz="0" w:space="0" w:color="auto"/>
        <w:bottom w:val="none" w:sz="0" w:space="0" w:color="auto"/>
        <w:right w:val="none" w:sz="0" w:space="0" w:color="auto"/>
      </w:divBdr>
      <w:divsChild>
        <w:div w:id="954366251">
          <w:marLeft w:val="274"/>
          <w:marRight w:val="0"/>
          <w:marTop w:val="0"/>
          <w:marBottom w:val="0"/>
          <w:divBdr>
            <w:top w:val="none" w:sz="0" w:space="0" w:color="auto"/>
            <w:left w:val="none" w:sz="0" w:space="0" w:color="auto"/>
            <w:bottom w:val="none" w:sz="0" w:space="0" w:color="auto"/>
            <w:right w:val="none" w:sz="0" w:space="0" w:color="auto"/>
          </w:divBdr>
        </w:div>
        <w:div w:id="936063526">
          <w:marLeft w:val="274"/>
          <w:marRight w:val="0"/>
          <w:marTop w:val="0"/>
          <w:marBottom w:val="0"/>
          <w:divBdr>
            <w:top w:val="none" w:sz="0" w:space="0" w:color="auto"/>
            <w:left w:val="none" w:sz="0" w:space="0" w:color="auto"/>
            <w:bottom w:val="none" w:sz="0" w:space="0" w:color="auto"/>
            <w:right w:val="none" w:sz="0" w:space="0" w:color="auto"/>
          </w:divBdr>
        </w:div>
        <w:div w:id="1197504065">
          <w:marLeft w:val="274"/>
          <w:marRight w:val="0"/>
          <w:marTop w:val="0"/>
          <w:marBottom w:val="0"/>
          <w:divBdr>
            <w:top w:val="none" w:sz="0" w:space="0" w:color="auto"/>
            <w:left w:val="none" w:sz="0" w:space="0" w:color="auto"/>
            <w:bottom w:val="none" w:sz="0" w:space="0" w:color="auto"/>
            <w:right w:val="none" w:sz="0" w:space="0" w:color="auto"/>
          </w:divBdr>
        </w:div>
      </w:divsChild>
    </w:div>
    <w:div w:id="1115751196">
      <w:bodyDiv w:val="1"/>
      <w:marLeft w:val="0"/>
      <w:marRight w:val="0"/>
      <w:marTop w:val="0"/>
      <w:marBottom w:val="0"/>
      <w:divBdr>
        <w:top w:val="none" w:sz="0" w:space="0" w:color="auto"/>
        <w:left w:val="none" w:sz="0" w:space="0" w:color="auto"/>
        <w:bottom w:val="none" w:sz="0" w:space="0" w:color="auto"/>
        <w:right w:val="none" w:sz="0" w:space="0" w:color="auto"/>
      </w:divBdr>
      <w:divsChild>
        <w:div w:id="1115709935">
          <w:marLeft w:val="274"/>
          <w:marRight w:val="0"/>
          <w:marTop w:val="0"/>
          <w:marBottom w:val="0"/>
          <w:divBdr>
            <w:top w:val="none" w:sz="0" w:space="0" w:color="auto"/>
            <w:left w:val="none" w:sz="0" w:space="0" w:color="auto"/>
            <w:bottom w:val="none" w:sz="0" w:space="0" w:color="auto"/>
            <w:right w:val="none" w:sz="0" w:space="0" w:color="auto"/>
          </w:divBdr>
        </w:div>
        <w:div w:id="859007657">
          <w:marLeft w:val="274"/>
          <w:marRight w:val="0"/>
          <w:marTop w:val="0"/>
          <w:marBottom w:val="0"/>
          <w:divBdr>
            <w:top w:val="none" w:sz="0" w:space="0" w:color="auto"/>
            <w:left w:val="none" w:sz="0" w:space="0" w:color="auto"/>
            <w:bottom w:val="none" w:sz="0" w:space="0" w:color="auto"/>
            <w:right w:val="none" w:sz="0" w:space="0" w:color="auto"/>
          </w:divBdr>
        </w:div>
        <w:div w:id="1004624469">
          <w:marLeft w:val="274"/>
          <w:marRight w:val="0"/>
          <w:marTop w:val="0"/>
          <w:marBottom w:val="0"/>
          <w:divBdr>
            <w:top w:val="none" w:sz="0" w:space="0" w:color="auto"/>
            <w:left w:val="none" w:sz="0" w:space="0" w:color="auto"/>
            <w:bottom w:val="none" w:sz="0" w:space="0" w:color="auto"/>
            <w:right w:val="none" w:sz="0" w:space="0" w:color="auto"/>
          </w:divBdr>
        </w:div>
        <w:div w:id="905528084">
          <w:marLeft w:val="274"/>
          <w:marRight w:val="0"/>
          <w:marTop w:val="0"/>
          <w:marBottom w:val="0"/>
          <w:divBdr>
            <w:top w:val="none" w:sz="0" w:space="0" w:color="auto"/>
            <w:left w:val="none" w:sz="0" w:space="0" w:color="auto"/>
            <w:bottom w:val="none" w:sz="0" w:space="0" w:color="auto"/>
            <w:right w:val="none" w:sz="0" w:space="0" w:color="auto"/>
          </w:divBdr>
        </w:div>
        <w:div w:id="433092118">
          <w:marLeft w:val="274"/>
          <w:marRight w:val="0"/>
          <w:marTop w:val="0"/>
          <w:marBottom w:val="0"/>
          <w:divBdr>
            <w:top w:val="none" w:sz="0" w:space="0" w:color="auto"/>
            <w:left w:val="none" w:sz="0" w:space="0" w:color="auto"/>
            <w:bottom w:val="none" w:sz="0" w:space="0" w:color="auto"/>
            <w:right w:val="none" w:sz="0" w:space="0" w:color="auto"/>
          </w:divBdr>
        </w:div>
      </w:divsChild>
    </w:div>
    <w:div w:id="1153450348">
      <w:bodyDiv w:val="1"/>
      <w:marLeft w:val="0"/>
      <w:marRight w:val="0"/>
      <w:marTop w:val="0"/>
      <w:marBottom w:val="0"/>
      <w:divBdr>
        <w:top w:val="none" w:sz="0" w:space="0" w:color="auto"/>
        <w:left w:val="none" w:sz="0" w:space="0" w:color="auto"/>
        <w:bottom w:val="none" w:sz="0" w:space="0" w:color="auto"/>
        <w:right w:val="none" w:sz="0" w:space="0" w:color="auto"/>
      </w:divBdr>
      <w:divsChild>
        <w:div w:id="505438706">
          <w:marLeft w:val="274"/>
          <w:marRight w:val="0"/>
          <w:marTop w:val="0"/>
          <w:marBottom w:val="0"/>
          <w:divBdr>
            <w:top w:val="none" w:sz="0" w:space="0" w:color="auto"/>
            <w:left w:val="none" w:sz="0" w:space="0" w:color="auto"/>
            <w:bottom w:val="none" w:sz="0" w:space="0" w:color="auto"/>
            <w:right w:val="none" w:sz="0" w:space="0" w:color="auto"/>
          </w:divBdr>
        </w:div>
        <w:div w:id="1462069601">
          <w:marLeft w:val="994"/>
          <w:marRight w:val="0"/>
          <w:marTop w:val="0"/>
          <w:marBottom w:val="0"/>
          <w:divBdr>
            <w:top w:val="none" w:sz="0" w:space="0" w:color="auto"/>
            <w:left w:val="none" w:sz="0" w:space="0" w:color="auto"/>
            <w:bottom w:val="none" w:sz="0" w:space="0" w:color="auto"/>
            <w:right w:val="none" w:sz="0" w:space="0" w:color="auto"/>
          </w:divBdr>
        </w:div>
        <w:div w:id="1418673926">
          <w:marLeft w:val="994"/>
          <w:marRight w:val="0"/>
          <w:marTop w:val="0"/>
          <w:marBottom w:val="0"/>
          <w:divBdr>
            <w:top w:val="none" w:sz="0" w:space="0" w:color="auto"/>
            <w:left w:val="none" w:sz="0" w:space="0" w:color="auto"/>
            <w:bottom w:val="none" w:sz="0" w:space="0" w:color="auto"/>
            <w:right w:val="none" w:sz="0" w:space="0" w:color="auto"/>
          </w:divBdr>
        </w:div>
        <w:div w:id="1220245234">
          <w:marLeft w:val="994"/>
          <w:marRight w:val="0"/>
          <w:marTop w:val="0"/>
          <w:marBottom w:val="0"/>
          <w:divBdr>
            <w:top w:val="none" w:sz="0" w:space="0" w:color="auto"/>
            <w:left w:val="none" w:sz="0" w:space="0" w:color="auto"/>
            <w:bottom w:val="none" w:sz="0" w:space="0" w:color="auto"/>
            <w:right w:val="none" w:sz="0" w:space="0" w:color="auto"/>
          </w:divBdr>
        </w:div>
        <w:div w:id="1186213748">
          <w:marLeft w:val="274"/>
          <w:marRight w:val="0"/>
          <w:marTop w:val="0"/>
          <w:marBottom w:val="0"/>
          <w:divBdr>
            <w:top w:val="none" w:sz="0" w:space="0" w:color="auto"/>
            <w:left w:val="none" w:sz="0" w:space="0" w:color="auto"/>
            <w:bottom w:val="none" w:sz="0" w:space="0" w:color="auto"/>
            <w:right w:val="none" w:sz="0" w:space="0" w:color="auto"/>
          </w:divBdr>
        </w:div>
        <w:div w:id="1716461790">
          <w:marLeft w:val="994"/>
          <w:marRight w:val="0"/>
          <w:marTop w:val="0"/>
          <w:marBottom w:val="0"/>
          <w:divBdr>
            <w:top w:val="none" w:sz="0" w:space="0" w:color="auto"/>
            <w:left w:val="none" w:sz="0" w:space="0" w:color="auto"/>
            <w:bottom w:val="none" w:sz="0" w:space="0" w:color="auto"/>
            <w:right w:val="none" w:sz="0" w:space="0" w:color="auto"/>
          </w:divBdr>
        </w:div>
        <w:div w:id="1504125168">
          <w:marLeft w:val="994"/>
          <w:marRight w:val="0"/>
          <w:marTop w:val="0"/>
          <w:marBottom w:val="0"/>
          <w:divBdr>
            <w:top w:val="none" w:sz="0" w:space="0" w:color="auto"/>
            <w:left w:val="none" w:sz="0" w:space="0" w:color="auto"/>
            <w:bottom w:val="none" w:sz="0" w:space="0" w:color="auto"/>
            <w:right w:val="none" w:sz="0" w:space="0" w:color="auto"/>
          </w:divBdr>
        </w:div>
        <w:div w:id="1581285374">
          <w:marLeft w:val="994"/>
          <w:marRight w:val="0"/>
          <w:marTop w:val="0"/>
          <w:marBottom w:val="0"/>
          <w:divBdr>
            <w:top w:val="none" w:sz="0" w:space="0" w:color="auto"/>
            <w:left w:val="none" w:sz="0" w:space="0" w:color="auto"/>
            <w:bottom w:val="none" w:sz="0" w:space="0" w:color="auto"/>
            <w:right w:val="none" w:sz="0" w:space="0" w:color="auto"/>
          </w:divBdr>
        </w:div>
        <w:div w:id="686056557">
          <w:marLeft w:val="994"/>
          <w:marRight w:val="0"/>
          <w:marTop w:val="0"/>
          <w:marBottom w:val="0"/>
          <w:divBdr>
            <w:top w:val="none" w:sz="0" w:space="0" w:color="auto"/>
            <w:left w:val="none" w:sz="0" w:space="0" w:color="auto"/>
            <w:bottom w:val="none" w:sz="0" w:space="0" w:color="auto"/>
            <w:right w:val="none" w:sz="0" w:space="0" w:color="auto"/>
          </w:divBdr>
        </w:div>
      </w:divsChild>
    </w:div>
    <w:div w:id="1560441172">
      <w:bodyDiv w:val="1"/>
      <w:marLeft w:val="0"/>
      <w:marRight w:val="0"/>
      <w:marTop w:val="0"/>
      <w:marBottom w:val="0"/>
      <w:divBdr>
        <w:top w:val="none" w:sz="0" w:space="0" w:color="auto"/>
        <w:left w:val="none" w:sz="0" w:space="0" w:color="auto"/>
        <w:bottom w:val="none" w:sz="0" w:space="0" w:color="auto"/>
        <w:right w:val="none" w:sz="0" w:space="0" w:color="auto"/>
      </w:divBdr>
    </w:div>
    <w:div w:id="1658338660">
      <w:bodyDiv w:val="1"/>
      <w:marLeft w:val="0"/>
      <w:marRight w:val="0"/>
      <w:marTop w:val="0"/>
      <w:marBottom w:val="0"/>
      <w:divBdr>
        <w:top w:val="none" w:sz="0" w:space="0" w:color="auto"/>
        <w:left w:val="none" w:sz="0" w:space="0" w:color="auto"/>
        <w:bottom w:val="none" w:sz="0" w:space="0" w:color="auto"/>
        <w:right w:val="none" w:sz="0" w:space="0" w:color="auto"/>
      </w:divBdr>
      <w:divsChild>
        <w:div w:id="1864443083">
          <w:marLeft w:val="274"/>
          <w:marRight w:val="0"/>
          <w:marTop w:val="0"/>
          <w:marBottom w:val="0"/>
          <w:divBdr>
            <w:top w:val="none" w:sz="0" w:space="0" w:color="auto"/>
            <w:left w:val="none" w:sz="0" w:space="0" w:color="auto"/>
            <w:bottom w:val="none" w:sz="0" w:space="0" w:color="auto"/>
            <w:right w:val="none" w:sz="0" w:space="0" w:color="auto"/>
          </w:divBdr>
        </w:div>
        <w:div w:id="2116290760">
          <w:marLeft w:val="274"/>
          <w:marRight w:val="0"/>
          <w:marTop w:val="0"/>
          <w:marBottom w:val="0"/>
          <w:divBdr>
            <w:top w:val="none" w:sz="0" w:space="0" w:color="auto"/>
            <w:left w:val="none" w:sz="0" w:space="0" w:color="auto"/>
            <w:bottom w:val="none" w:sz="0" w:space="0" w:color="auto"/>
            <w:right w:val="none" w:sz="0" w:space="0" w:color="auto"/>
          </w:divBdr>
        </w:div>
        <w:div w:id="1219322091">
          <w:marLeft w:val="274"/>
          <w:marRight w:val="0"/>
          <w:marTop w:val="0"/>
          <w:marBottom w:val="0"/>
          <w:divBdr>
            <w:top w:val="none" w:sz="0" w:space="0" w:color="auto"/>
            <w:left w:val="none" w:sz="0" w:space="0" w:color="auto"/>
            <w:bottom w:val="none" w:sz="0" w:space="0" w:color="auto"/>
            <w:right w:val="none" w:sz="0" w:space="0" w:color="auto"/>
          </w:divBdr>
        </w:div>
        <w:div w:id="688524306">
          <w:marLeft w:val="274"/>
          <w:marRight w:val="0"/>
          <w:marTop w:val="0"/>
          <w:marBottom w:val="0"/>
          <w:divBdr>
            <w:top w:val="none" w:sz="0" w:space="0" w:color="auto"/>
            <w:left w:val="none" w:sz="0" w:space="0" w:color="auto"/>
            <w:bottom w:val="none" w:sz="0" w:space="0" w:color="auto"/>
            <w:right w:val="none" w:sz="0" w:space="0" w:color="auto"/>
          </w:divBdr>
        </w:div>
        <w:div w:id="581530318">
          <w:marLeft w:val="274"/>
          <w:marRight w:val="0"/>
          <w:marTop w:val="0"/>
          <w:marBottom w:val="0"/>
          <w:divBdr>
            <w:top w:val="none" w:sz="0" w:space="0" w:color="auto"/>
            <w:left w:val="none" w:sz="0" w:space="0" w:color="auto"/>
            <w:bottom w:val="none" w:sz="0" w:space="0" w:color="auto"/>
            <w:right w:val="none" w:sz="0" w:space="0" w:color="auto"/>
          </w:divBdr>
        </w:div>
      </w:divsChild>
    </w:div>
    <w:div w:id="1962489237">
      <w:bodyDiv w:val="1"/>
      <w:marLeft w:val="0"/>
      <w:marRight w:val="0"/>
      <w:marTop w:val="0"/>
      <w:marBottom w:val="0"/>
      <w:divBdr>
        <w:top w:val="none" w:sz="0" w:space="0" w:color="auto"/>
        <w:left w:val="none" w:sz="0" w:space="0" w:color="auto"/>
        <w:bottom w:val="none" w:sz="0" w:space="0" w:color="auto"/>
        <w:right w:val="none" w:sz="0" w:space="0" w:color="auto"/>
      </w:divBdr>
    </w:div>
    <w:div w:id="2047561345">
      <w:bodyDiv w:val="1"/>
      <w:marLeft w:val="0"/>
      <w:marRight w:val="0"/>
      <w:marTop w:val="0"/>
      <w:marBottom w:val="0"/>
      <w:divBdr>
        <w:top w:val="none" w:sz="0" w:space="0" w:color="auto"/>
        <w:left w:val="none" w:sz="0" w:space="0" w:color="auto"/>
        <w:bottom w:val="none" w:sz="0" w:space="0" w:color="auto"/>
        <w:right w:val="none" w:sz="0" w:space="0" w:color="auto"/>
      </w:divBdr>
      <w:divsChild>
        <w:div w:id="1092042930">
          <w:marLeft w:val="274"/>
          <w:marRight w:val="0"/>
          <w:marTop w:val="0"/>
          <w:marBottom w:val="0"/>
          <w:divBdr>
            <w:top w:val="none" w:sz="0" w:space="0" w:color="auto"/>
            <w:left w:val="none" w:sz="0" w:space="0" w:color="auto"/>
            <w:bottom w:val="none" w:sz="0" w:space="0" w:color="auto"/>
            <w:right w:val="none" w:sz="0" w:space="0" w:color="auto"/>
          </w:divBdr>
        </w:div>
        <w:div w:id="590427498">
          <w:marLeft w:val="274"/>
          <w:marRight w:val="0"/>
          <w:marTop w:val="0"/>
          <w:marBottom w:val="0"/>
          <w:divBdr>
            <w:top w:val="none" w:sz="0" w:space="0" w:color="auto"/>
            <w:left w:val="none" w:sz="0" w:space="0" w:color="auto"/>
            <w:bottom w:val="none" w:sz="0" w:space="0" w:color="auto"/>
            <w:right w:val="none" w:sz="0" w:space="0" w:color="auto"/>
          </w:divBdr>
        </w:div>
        <w:div w:id="586118274">
          <w:marLeft w:val="274"/>
          <w:marRight w:val="0"/>
          <w:marTop w:val="0"/>
          <w:marBottom w:val="0"/>
          <w:divBdr>
            <w:top w:val="none" w:sz="0" w:space="0" w:color="auto"/>
            <w:left w:val="none" w:sz="0" w:space="0" w:color="auto"/>
            <w:bottom w:val="none" w:sz="0" w:space="0" w:color="auto"/>
            <w:right w:val="none" w:sz="0" w:space="0" w:color="auto"/>
          </w:divBdr>
        </w:div>
        <w:div w:id="494103429">
          <w:marLeft w:val="274"/>
          <w:marRight w:val="0"/>
          <w:marTop w:val="0"/>
          <w:marBottom w:val="0"/>
          <w:divBdr>
            <w:top w:val="none" w:sz="0" w:space="0" w:color="auto"/>
            <w:left w:val="none" w:sz="0" w:space="0" w:color="auto"/>
            <w:bottom w:val="none" w:sz="0" w:space="0" w:color="auto"/>
            <w:right w:val="none" w:sz="0" w:space="0" w:color="auto"/>
          </w:divBdr>
        </w:div>
        <w:div w:id="202482099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mailto:basile.vellut@fednot.be"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www.fednot.be"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8</Pages>
  <Words>1572</Words>
  <Characters>8646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FEDNOT</Company>
  <LinksUpToDate>false</LinksUpToDate>
  <CharactersWithSpaces>10198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Basile Vellut</dc:creator>
  <cp:keywords/>
  <dc:description/>
  <cp:lastModifiedBy>Basile Vellut</cp:lastModifiedBy>
  <cp:revision>30</cp:revision>
  <dcterms:created xsi:type="dcterms:W3CDTF">2025-02-06T14:28:00Z</dcterms:created>
  <dcterms:modified xsi:type="dcterms:W3CDTF">2025-02-07T14:18:00Z</dcterms:modified>
</cp:coreProperties>
</file>