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2C100" w14:textId="61D90CEB" w:rsidR="00C70C46" w:rsidRDefault="00C70C46" w:rsidP="00C70C46">
      <w:pPr>
        <w:pStyle w:val="HoofdtekstA"/>
        <w:jc w:val="center"/>
        <w:rPr>
          <w:b/>
          <w:bCs/>
          <w:lang w:val="fr-BE"/>
        </w:rPr>
      </w:pPr>
      <w:r w:rsidRPr="00C70C46">
        <w:rPr>
          <w:noProof/>
        </w:rPr>
        <w:drawing>
          <wp:anchor distT="0" distB="0" distL="114300" distR="114300" simplePos="0" relativeHeight="251660288" behindDoc="0" locked="0" layoutInCell="1" allowOverlap="1" wp14:anchorId="5FE33445" wp14:editId="06CFBA20">
            <wp:simplePos x="0" y="0"/>
            <wp:positionH relativeFrom="column">
              <wp:posOffset>3657600</wp:posOffset>
            </wp:positionH>
            <wp:positionV relativeFrom="page">
              <wp:posOffset>282575</wp:posOffset>
            </wp:positionV>
            <wp:extent cx="997585" cy="1310005"/>
            <wp:effectExtent l="38100" t="19050" r="69215" b="80645"/>
            <wp:wrapTopAndBottom/>
            <wp:docPr id="3" name="Picture 2" descr="A logo with houses and colorful stripes&#10;&#10;Description automatically generated">
              <a:extLst xmlns:a="http://schemas.openxmlformats.org/drawingml/2006/main">
                <a:ext uri="{FF2B5EF4-FFF2-40B4-BE49-F238E27FC236}">
                  <a16:creationId xmlns:a16="http://schemas.microsoft.com/office/drawing/2014/main" id="{0DC01DBB-0593-34F2-72AD-E93672095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houses and colorful stripes&#10;&#10;Description automatically generated">
                      <a:extLst>
                        <a:ext uri="{FF2B5EF4-FFF2-40B4-BE49-F238E27FC236}">
                          <a16:creationId xmlns:a16="http://schemas.microsoft.com/office/drawing/2014/main" id="{0DC01DBB-0593-34F2-72AD-E93672095A5C}"/>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7585" cy="1310005"/>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62336" behindDoc="0" locked="0" layoutInCell="1" allowOverlap="1" wp14:anchorId="16684035" wp14:editId="0EF8D270">
            <wp:simplePos x="0" y="0"/>
            <wp:positionH relativeFrom="column">
              <wp:posOffset>434975</wp:posOffset>
            </wp:positionH>
            <wp:positionV relativeFrom="page">
              <wp:posOffset>599440</wp:posOffset>
            </wp:positionV>
            <wp:extent cx="2495550" cy="372745"/>
            <wp:effectExtent l="0" t="0" r="0"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5550" cy="372745"/>
                    </a:xfrm>
                    <a:prstGeom prst="rect">
                      <a:avLst/>
                    </a:prstGeom>
                    <a:noFill/>
                  </pic:spPr>
                </pic:pic>
              </a:graphicData>
            </a:graphic>
            <wp14:sizeRelH relativeFrom="page">
              <wp14:pctWidth>0</wp14:pctWidth>
            </wp14:sizeRelH>
            <wp14:sizeRelV relativeFrom="page">
              <wp14:pctHeight>0</wp14:pctHeight>
            </wp14:sizeRelV>
          </wp:anchor>
        </w:drawing>
      </w:r>
    </w:p>
    <w:p w14:paraId="77E252B0" w14:textId="3C85E4E0" w:rsidR="00AD7C5D" w:rsidRDefault="00AD7C5D" w:rsidP="00AD7C5D">
      <w:pPr>
        <w:pStyle w:val="HoofdtekstA"/>
        <w:jc w:val="right"/>
        <w:rPr>
          <w:b/>
          <w:bCs/>
          <w:sz w:val="20"/>
          <w:szCs w:val="20"/>
          <w:lang w:val="fr-BE"/>
        </w:rPr>
      </w:pPr>
      <w:r>
        <w:rPr>
          <w:sz w:val="20"/>
          <w:szCs w:val="20"/>
          <w:lang w:val="fr-BE"/>
        </w:rPr>
        <w:t>Wavre, 1</w:t>
      </w:r>
      <w:r w:rsidR="00DA5910">
        <w:rPr>
          <w:sz w:val="20"/>
          <w:szCs w:val="20"/>
          <w:lang w:val="fr-BE"/>
        </w:rPr>
        <w:t>0</w:t>
      </w:r>
      <w:r>
        <w:rPr>
          <w:sz w:val="20"/>
          <w:szCs w:val="20"/>
          <w:lang w:val="fr-BE"/>
        </w:rPr>
        <w:t xml:space="preserve"> </w:t>
      </w:r>
      <w:r w:rsidR="00DA5910">
        <w:rPr>
          <w:sz w:val="20"/>
          <w:szCs w:val="20"/>
          <w:lang w:val="fr-BE"/>
        </w:rPr>
        <w:t>février</w:t>
      </w:r>
      <w:r>
        <w:rPr>
          <w:sz w:val="20"/>
          <w:szCs w:val="20"/>
          <w:lang w:val="fr-BE"/>
        </w:rPr>
        <w:t xml:space="preserve"> 202</w:t>
      </w:r>
      <w:r w:rsidR="00DA5910">
        <w:rPr>
          <w:sz w:val="20"/>
          <w:szCs w:val="20"/>
          <w:lang w:val="fr-BE"/>
        </w:rPr>
        <w:t>5</w:t>
      </w:r>
      <w:bookmarkStart w:id="0" w:name="_Hlk91158770"/>
      <w:r>
        <w:rPr>
          <w:b/>
          <w:bCs/>
          <w:color w:val="FF0000"/>
          <w:lang w:val="fr-BE"/>
        </w:rPr>
        <w:br/>
      </w:r>
      <w:bookmarkStart w:id="1" w:name="_Hlk124235218"/>
      <w:r>
        <w:rPr>
          <w:b/>
          <w:bCs/>
          <w:color w:val="FF0000"/>
          <w:sz w:val="20"/>
          <w:szCs w:val="20"/>
          <w:lang w:val="fr-BE"/>
        </w:rPr>
        <w:t>Sous embargo jusqu’au lundi 1</w:t>
      </w:r>
      <w:r w:rsidR="00DA5910">
        <w:rPr>
          <w:b/>
          <w:bCs/>
          <w:color w:val="FF0000"/>
          <w:sz w:val="20"/>
          <w:szCs w:val="20"/>
          <w:lang w:val="fr-BE"/>
        </w:rPr>
        <w:t>0 février</w:t>
      </w:r>
      <w:r>
        <w:rPr>
          <w:b/>
          <w:bCs/>
          <w:color w:val="FF0000"/>
          <w:sz w:val="20"/>
          <w:szCs w:val="20"/>
          <w:lang w:val="fr-BE"/>
        </w:rPr>
        <w:t xml:space="preserve">, </w:t>
      </w:r>
      <w:r w:rsidR="00DA5910">
        <w:rPr>
          <w:b/>
          <w:bCs/>
          <w:color w:val="FF0000"/>
          <w:sz w:val="20"/>
          <w:szCs w:val="20"/>
          <w:lang w:val="fr-BE"/>
        </w:rPr>
        <w:t>12</w:t>
      </w:r>
      <w:bookmarkEnd w:id="0"/>
      <w:r>
        <w:rPr>
          <w:b/>
          <w:bCs/>
          <w:color w:val="FF0000"/>
          <w:sz w:val="20"/>
          <w:szCs w:val="20"/>
          <w:lang w:val="fr-BE"/>
        </w:rPr>
        <w:t>h</w:t>
      </w:r>
    </w:p>
    <w:bookmarkEnd w:id="1"/>
    <w:p w14:paraId="7A9316E5" w14:textId="77777777" w:rsidR="00AD7C5D" w:rsidRDefault="00AD7C5D" w:rsidP="00035635">
      <w:pPr>
        <w:pStyle w:val="HoofdtekstA"/>
        <w:rPr>
          <w:b/>
          <w:bCs/>
          <w:lang w:val="fr-BE"/>
        </w:rPr>
      </w:pPr>
    </w:p>
    <w:p w14:paraId="7E9B3DE4" w14:textId="596E612E" w:rsidR="00C70C46" w:rsidRDefault="00C70C46" w:rsidP="00035635">
      <w:pPr>
        <w:pStyle w:val="HoofdtekstA"/>
        <w:rPr>
          <w:b/>
          <w:bCs/>
          <w:lang w:val="fr-BE"/>
        </w:rPr>
      </w:pPr>
      <w:r>
        <w:rPr>
          <w:b/>
          <w:bCs/>
          <w:lang w:val="fr-BE"/>
        </w:rPr>
        <w:t>BAROMÈTRE DES NOTAIRES:  L’IMMOBILIER EN 2024 DANS LE BRABANT WALLON</w:t>
      </w:r>
    </w:p>
    <w:p w14:paraId="43ABDC20" w14:textId="78AFD124" w:rsidR="00C70C46" w:rsidRPr="00C70C46" w:rsidRDefault="00C70C46" w:rsidP="00035635">
      <w:pPr>
        <w:pStyle w:val="HoofdtekstA"/>
        <w:rPr>
          <w:b/>
          <w:bCs/>
          <w:lang w:val="fr-BE"/>
        </w:rPr>
      </w:pPr>
      <w:r w:rsidRPr="00C70C46">
        <w:rPr>
          <w:b/>
          <w:bCs/>
          <w:lang w:val="fr-BE"/>
        </w:rPr>
        <w:t>Quelques chiffres pour remettre l’activité brabançonne</w:t>
      </w:r>
      <w:r w:rsidR="00035635">
        <w:rPr>
          <w:b/>
          <w:bCs/>
          <w:lang w:val="fr-BE"/>
        </w:rPr>
        <w:t xml:space="preserve"> wallonne</w:t>
      </w:r>
      <w:r w:rsidRPr="00C70C46">
        <w:rPr>
          <w:b/>
          <w:bCs/>
          <w:lang w:val="fr-BE"/>
        </w:rPr>
        <w:t xml:space="preserve"> dans son contexte</w:t>
      </w:r>
    </w:p>
    <w:p w14:paraId="0FBE5A69" w14:textId="77777777" w:rsidR="00C70C46" w:rsidRDefault="00C70C46" w:rsidP="00C70C46">
      <w:pPr>
        <w:pStyle w:val="HoofdtekstA"/>
        <w:rPr>
          <w:lang w:val="fr-BE"/>
        </w:rPr>
      </w:pPr>
      <w:r w:rsidRPr="00C70C46">
        <w:rPr>
          <w:noProof/>
          <w:lang w:val="fr-BE"/>
        </w:rPr>
        <w:drawing>
          <wp:inline distT="0" distB="0" distL="0" distR="0" wp14:anchorId="414D5DFA" wp14:editId="01822097">
            <wp:extent cx="5235575" cy="1711162"/>
            <wp:effectExtent l="0" t="0" r="3175" b="3810"/>
            <wp:docPr id="480649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49215" name=""/>
                    <pic:cNvPicPr/>
                  </pic:nvPicPr>
                  <pic:blipFill>
                    <a:blip r:embed="rId7"/>
                    <a:stretch>
                      <a:fillRect/>
                    </a:stretch>
                  </pic:blipFill>
                  <pic:spPr>
                    <a:xfrm>
                      <a:off x="0" y="0"/>
                      <a:ext cx="5266694" cy="1721333"/>
                    </a:xfrm>
                    <a:prstGeom prst="rect">
                      <a:avLst/>
                    </a:prstGeom>
                  </pic:spPr>
                </pic:pic>
              </a:graphicData>
            </a:graphic>
          </wp:inline>
        </w:drawing>
      </w:r>
    </w:p>
    <w:p w14:paraId="423E9C80" w14:textId="1E72F635" w:rsidR="00C70C46" w:rsidRDefault="00C70C46" w:rsidP="00C70C46">
      <w:pPr>
        <w:pStyle w:val="HoofdtekstA"/>
        <w:rPr>
          <w:lang w:val="fr-BE"/>
        </w:rPr>
      </w:pPr>
      <w:r w:rsidRPr="00C70C46">
        <w:rPr>
          <w:noProof/>
          <w:lang w:val="fr-BE"/>
        </w:rPr>
        <w:drawing>
          <wp:inline distT="0" distB="0" distL="0" distR="0" wp14:anchorId="2969EF6F" wp14:editId="2A16031F">
            <wp:extent cx="2499804" cy="1387475"/>
            <wp:effectExtent l="0" t="0" r="0" b="3175"/>
            <wp:docPr id="150660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2033" name=""/>
                    <pic:cNvPicPr/>
                  </pic:nvPicPr>
                  <pic:blipFill>
                    <a:blip r:embed="rId8"/>
                    <a:stretch>
                      <a:fillRect/>
                    </a:stretch>
                  </pic:blipFill>
                  <pic:spPr>
                    <a:xfrm>
                      <a:off x="0" y="0"/>
                      <a:ext cx="2509651" cy="1392940"/>
                    </a:xfrm>
                    <a:prstGeom prst="rect">
                      <a:avLst/>
                    </a:prstGeom>
                  </pic:spPr>
                </pic:pic>
              </a:graphicData>
            </a:graphic>
          </wp:inline>
        </w:drawing>
      </w:r>
      <w:r w:rsidRPr="00C70C46">
        <w:rPr>
          <w:noProof/>
        </w:rPr>
        <w:t xml:space="preserve"> </w:t>
      </w:r>
      <w:r w:rsidRPr="00C70C46">
        <w:rPr>
          <w:noProof/>
          <w:lang w:val="fr-BE"/>
        </w:rPr>
        <w:drawing>
          <wp:inline distT="0" distB="0" distL="0" distR="0" wp14:anchorId="392F6905" wp14:editId="3B60E018">
            <wp:extent cx="2721919" cy="1857347"/>
            <wp:effectExtent l="0" t="0" r="2540" b="0"/>
            <wp:docPr id="591229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29600" name=""/>
                    <pic:cNvPicPr/>
                  </pic:nvPicPr>
                  <pic:blipFill>
                    <a:blip r:embed="rId9"/>
                    <a:stretch>
                      <a:fillRect/>
                    </a:stretch>
                  </pic:blipFill>
                  <pic:spPr>
                    <a:xfrm>
                      <a:off x="0" y="0"/>
                      <a:ext cx="2839041" cy="1937267"/>
                    </a:xfrm>
                    <a:prstGeom prst="rect">
                      <a:avLst/>
                    </a:prstGeom>
                  </pic:spPr>
                </pic:pic>
              </a:graphicData>
            </a:graphic>
          </wp:inline>
        </w:drawing>
      </w:r>
    </w:p>
    <w:p w14:paraId="753BE18D" w14:textId="77777777" w:rsidR="00C70C46" w:rsidRPr="00C70C46" w:rsidRDefault="00C70C46" w:rsidP="00C70C46">
      <w:pPr>
        <w:pStyle w:val="HoofdtekstA"/>
        <w:numPr>
          <w:ilvl w:val="0"/>
          <w:numId w:val="1"/>
        </w:numPr>
        <w:rPr>
          <w:lang w:val="fr-BE"/>
        </w:rPr>
      </w:pPr>
      <w:r w:rsidRPr="00C70C46">
        <w:rPr>
          <w:lang w:val="fr-FR"/>
        </w:rPr>
        <w:t>A l'échelle régionale, les proportions entre les différentes régions restent stables. En 2024, la Flandre représente 63% des actes de vente, la Wallonie 28% et Bruxelles 9%.</w:t>
      </w:r>
    </w:p>
    <w:p w14:paraId="1548D5D0" w14:textId="77777777" w:rsidR="00C70C46" w:rsidRPr="00C70C46" w:rsidRDefault="00C70C46" w:rsidP="00C70C46">
      <w:pPr>
        <w:pStyle w:val="HoofdtekstA"/>
        <w:numPr>
          <w:ilvl w:val="0"/>
          <w:numId w:val="1"/>
        </w:numPr>
        <w:rPr>
          <w:lang w:val="fr-BE"/>
        </w:rPr>
      </w:pPr>
      <w:r w:rsidRPr="00C70C46">
        <w:rPr>
          <w:lang w:val="fr-FR"/>
        </w:rPr>
        <w:t>La tendance à la baisse s'est stabilisée dans tout le pays, cependant une légère augmentation du nombre de ventes est notable à Bruxelles.</w:t>
      </w:r>
    </w:p>
    <w:p w14:paraId="56FF501C" w14:textId="61E0472A" w:rsidR="00C70C46" w:rsidRPr="00C70C46" w:rsidRDefault="00C70C46" w:rsidP="00C70C46">
      <w:pPr>
        <w:pStyle w:val="HoofdtekstA"/>
        <w:rPr>
          <w:b/>
          <w:bCs/>
          <w:lang w:val="fr-BE"/>
        </w:rPr>
      </w:pPr>
      <w:r w:rsidRPr="00C70C46">
        <w:rPr>
          <w:b/>
          <w:bCs/>
          <w:lang w:val="fr-BE"/>
        </w:rPr>
        <w:t xml:space="preserve">Qu’observe-ton </w:t>
      </w:r>
      <w:r w:rsidR="00775106">
        <w:rPr>
          <w:b/>
          <w:bCs/>
          <w:lang w:val="fr-BE"/>
        </w:rPr>
        <w:t xml:space="preserve">en 2024 </w:t>
      </w:r>
      <w:r w:rsidRPr="00C70C46">
        <w:rPr>
          <w:b/>
          <w:bCs/>
          <w:lang w:val="fr-BE"/>
        </w:rPr>
        <w:t>au niveau du Brabant Wallon ?</w:t>
      </w:r>
    </w:p>
    <w:p w14:paraId="5FBAA1B9" w14:textId="1D19F820" w:rsidR="00C70C46" w:rsidRDefault="00C70C46" w:rsidP="00C70C46">
      <w:pPr>
        <w:pStyle w:val="HoofdtekstA"/>
        <w:rPr>
          <w:lang w:val="fr-BE"/>
        </w:rPr>
      </w:pPr>
      <w:r w:rsidRPr="00C70C46">
        <w:rPr>
          <w:noProof/>
          <w:lang w:val="fr-BE"/>
        </w:rPr>
        <w:drawing>
          <wp:inline distT="0" distB="0" distL="0" distR="0" wp14:anchorId="256F1310" wp14:editId="18C52AC2">
            <wp:extent cx="2597150" cy="1074425"/>
            <wp:effectExtent l="0" t="0" r="0" b="0"/>
            <wp:docPr id="725078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78666" name=""/>
                    <pic:cNvPicPr/>
                  </pic:nvPicPr>
                  <pic:blipFill>
                    <a:blip r:embed="rId10"/>
                    <a:stretch>
                      <a:fillRect/>
                    </a:stretch>
                  </pic:blipFill>
                  <pic:spPr>
                    <a:xfrm>
                      <a:off x="0" y="0"/>
                      <a:ext cx="2617300" cy="1082761"/>
                    </a:xfrm>
                    <a:prstGeom prst="rect">
                      <a:avLst/>
                    </a:prstGeom>
                  </pic:spPr>
                </pic:pic>
              </a:graphicData>
            </a:graphic>
          </wp:inline>
        </w:drawing>
      </w:r>
      <w:r w:rsidRPr="00C70C46">
        <w:rPr>
          <w:noProof/>
          <w:lang w:val="fr-BE"/>
        </w:rPr>
        <w:t xml:space="preserve"> </w:t>
      </w:r>
      <w:r w:rsidRPr="00C70C46">
        <w:rPr>
          <w:noProof/>
          <w:lang w:val="fr-BE"/>
        </w:rPr>
        <w:drawing>
          <wp:inline distT="0" distB="0" distL="0" distR="0" wp14:anchorId="32E84168" wp14:editId="04388194">
            <wp:extent cx="2558082" cy="1058545"/>
            <wp:effectExtent l="0" t="0" r="0" b="8255"/>
            <wp:docPr id="1568934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34821" name=""/>
                    <pic:cNvPicPr/>
                  </pic:nvPicPr>
                  <pic:blipFill>
                    <a:blip r:embed="rId11"/>
                    <a:stretch>
                      <a:fillRect/>
                    </a:stretch>
                  </pic:blipFill>
                  <pic:spPr>
                    <a:xfrm>
                      <a:off x="0" y="0"/>
                      <a:ext cx="2580508" cy="1067825"/>
                    </a:xfrm>
                    <a:prstGeom prst="rect">
                      <a:avLst/>
                    </a:prstGeom>
                  </pic:spPr>
                </pic:pic>
              </a:graphicData>
            </a:graphic>
          </wp:inline>
        </w:drawing>
      </w:r>
    </w:p>
    <w:p w14:paraId="6607F7C7" w14:textId="77777777" w:rsidR="00C70C46" w:rsidRPr="00C70C46" w:rsidRDefault="00C70C46" w:rsidP="00C70C46">
      <w:pPr>
        <w:pStyle w:val="HoofdtekstA"/>
        <w:rPr>
          <w:lang w:val="fr-BE"/>
        </w:rPr>
      </w:pPr>
      <w:r w:rsidRPr="00C70C46">
        <w:rPr>
          <w:lang w:val="fr-FR"/>
        </w:rPr>
        <w:t>La province du Brabant wallon suit la même tendance que celle observée au niveau national et régional.</w:t>
      </w:r>
    </w:p>
    <w:p w14:paraId="25EAA243" w14:textId="77777777" w:rsidR="00C70C46" w:rsidRPr="00C70C46" w:rsidRDefault="00C70C46" w:rsidP="00C70C46">
      <w:pPr>
        <w:pStyle w:val="HoofdtekstA"/>
        <w:rPr>
          <w:lang w:val="fr-BE"/>
        </w:rPr>
      </w:pPr>
      <w:r w:rsidRPr="00C70C46">
        <w:rPr>
          <w:lang w:val="fr-FR"/>
        </w:rPr>
        <w:lastRenderedPageBreak/>
        <w:t>Le Brabant wallon représente 10% du marché wallon et 3% du marché national, ce qui comparable à sa part de population belge (4%).</w:t>
      </w:r>
    </w:p>
    <w:p w14:paraId="5B030F06" w14:textId="0C521962" w:rsidR="00C70C46" w:rsidRDefault="00035635" w:rsidP="00C70C46">
      <w:pPr>
        <w:pStyle w:val="HoofdtekstA"/>
        <w:rPr>
          <w:b/>
          <w:bCs/>
          <w:lang w:val="fr-BE"/>
        </w:rPr>
      </w:pPr>
      <w:r>
        <w:rPr>
          <w:b/>
          <w:bCs/>
          <w:lang w:val="fr-BE"/>
        </w:rPr>
        <w:t>Maisons : q</w:t>
      </w:r>
      <w:r w:rsidR="00C70C46" w:rsidRPr="00C70C46">
        <w:rPr>
          <w:b/>
          <w:bCs/>
          <w:lang w:val="fr-BE"/>
        </w:rPr>
        <w:t>u’observe-ton au niveau du Brabant Wallon ?</w:t>
      </w:r>
    </w:p>
    <w:p w14:paraId="4F76FABF" w14:textId="0FF890BD" w:rsidR="006E7150" w:rsidRPr="00C70C46" w:rsidRDefault="006E7150" w:rsidP="00C70C46">
      <w:pPr>
        <w:pStyle w:val="HoofdtekstA"/>
        <w:rPr>
          <w:b/>
          <w:bCs/>
          <w:lang w:val="fr-BE"/>
        </w:rPr>
      </w:pPr>
      <w:r w:rsidRPr="006E7150">
        <w:rPr>
          <w:noProof/>
          <w:lang w:val="fr-BE"/>
        </w:rPr>
        <w:t xml:space="preserve"> </w:t>
      </w:r>
      <w:r w:rsidRPr="006E7150">
        <w:rPr>
          <w:b/>
          <w:bCs/>
          <w:noProof/>
          <w:lang w:val="fr-BE"/>
        </w:rPr>
        <w:drawing>
          <wp:inline distT="0" distB="0" distL="0" distR="0" wp14:anchorId="223DCBD4" wp14:editId="608B5EC1">
            <wp:extent cx="5026025" cy="2298630"/>
            <wp:effectExtent l="0" t="0" r="3175" b="6985"/>
            <wp:docPr id="1109872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72615" name=""/>
                    <pic:cNvPicPr/>
                  </pic:nvPicPr>
                  <pic:blipFill>
                    <a:blip r:embed="rId12"/>
                    <a:stretch>
                      <a:fillRect/>
                    </a:stretch>
                  </pic:blipFill>
                  <pic:spPr>
                    <a:xfrm>
                      <a:off x="0" y="0"/>
                      <a:ext cx="5035254" cy="2302851"/>
                    </a:xfrm>
                    <a:prstGeom prst="rect">
                      <a:avLst/>
                    </a:prstGeom>
                  </pic:spPr>
                </pic:pic>
              </a:graphicData>
            </a:graphic>
          </wp:inline>
        </w:drawing>
      </w:r>
    </w:p>
    <w:p w14:paraId="0EA63E2F" w14:textId="77777777" w:rsidR="006E7150" w:rsidRPr="006E7150" w:rsidRDefault="006E7150" w:rsidP="00035635">
      <w:pPr>
        <w:pStyle w:val="HoofdtekstA"/>
        <w:numPr>
          <w:ilvl w:val="0"/>
          <w:numId w:val="8"/>
        </w:numPr>
        <w:rPr>
          <w:lang w:val="fr-BE"/>
        </w:rPr>
      </w:pPr>
      <w:r w:rsidRPr="006E7150">
        <w:rPr>
          <w:lang w:val="fr-BE"/>
        </w:rPr>
        <w:t>Le prix médian d'une maison dans le Brabant wallon est le plus haut de Wallonie. Il continue de dépasser le prix médian national (295.000 EUR), comme les 5 années précédentes.</w:t>
      </w:r>
    </w:p>
    <w:p w14:paraId="1AAC4A9F" w14:textId="77777777" w:rsidR="006E7150" w:rsidRPr="006E7150" w:rsidRDefault="006E7150" w:rsidP="00035635">
      <w:pPr>
        <w:pStyle w:val="HoofdtekstA"/>
        <w:numPr>
          <w:ilvl w:val="0"/>
          <w:numId w:val="8"/>
        </w:numPr>
        <w:rPr>
          <w:lang w:val="fr-BE"/>
        </w:rPr>
      </w:pPr>
      <w:r w:rsidRPr="006E7150">
        <w:rPr>
          <w:lang w:val="fr-BE"/>
        </w:rPr>
        <w:t>La médiane est de +75.000 EUR ou +25,4% au-dessus de la médiane nationale (295.000 EUR) et de + 162.000 EUR ou +77,9% au-dessus de la médiane régionale (208.000 EUR).</w:t>
      </w:r>
    </w:p>
    <w:p w14:paraId="5EB77C6B" w14:textId="77777777" w:rsidR="006E7150" w:rsidRPr="006E7150" w:rsidRDefault="006E7150" w:rsidP="00035635">
      <w:pPr>
        <w:pStyle w:val="HoofdtekstA"/>
        <w:numPr>
          <w:ilvl w:val="0"/>
          <w:numId w:val="8"/>
        </w:numPr>
        <w:rPr>
          <w:lang w:val="fr-BE"/>
        </w:rPr>
      </w:pPr>
      <w:r w:rsidRPr="006E7150">
        <w:rPr>
          <w:lang w:val="fr-BE"/>
        </w:rPr>
        <w:t xml:space="preserve">La différence entre le prix médian des appartements et des maisons dans le </w:t>
      </w:r>
      <w:r w:rsidRPr="006E7150">
        <w:rPr>
          <w:b/>
          <w:bCs/>
          <w:lang w:val="fr-BE"/>
        </w:rPr>
        <w:t>Brabant wallon</w:t>
      </w:r>
      <w:r w:rsidRPr="006E7150">
        <w:rPr>
          <w:lang w:val="fr-BE"/>
        </w:rPr>
        <w:t xml:space="preserve"> est de 120.000 EUR. </w:t>
      </w:r>
    </w:p>
    <w:p w14:paraId="402CF9BA" w14:textId="77777777" w:rsidR="006E7150" w:rsidRPr="006E7150" w:rsidRDefault="006E7150" w:rsidP="00035635">
      <w:pPr>
        <w:pStyle w:val="HoofdtekstA"/>
        <w:numPr>
          <w:ilvl w:val="0"/>
          <w:numId w:val="8"/>
        </w:numPr>
        <w:rPr>
          <w:lang w:val="fr-BE"/>
        </w:rPr>
      </w:pPr>
      <w:r w:rsidRPr="006E7150">
        <w:rPr>
          <w:lang w:val="fr-BE"/>
        </w:rPr>
        <w:t>Le prix médian dans Brabant wallon a diminué de -1,3% par rapport à l'année dernière (-4,2% après inflation). Cela représente une diminution de -5.000 EUR (-16.250 EUR après inflation).</w:t>
      </w:r>
    </w:p>
    <w:p w14:paraId="18751AC8" w14:textId="1D08246F" w:rsidR="006E7150" w:rsidRDefault="006E7150" w:rsidP="00035635">
      <w:pPr>
        <w:pStyle w:val="HoofdtekstA"/>
        <w:numPr>
          <w:ilvl w:val="0"/>
          <w:numId w:val="8"/>
        </w:numPr>
        <w:rPr>
          <w:lang w:val="fr-BE"/>
        </w:rPr>
      </w:pPr>
      <w:r w:rsidRPr="006E7150">
        <w:rPr>
          <w:lang w:val="fr-BE"/>
        </w:rPr>
        <w:t xml:space="preserve">En 2020, 50% des maisons vendues dans le </w:t>
      </w:r>
      <w:r w:rsidRPr="006E7150">
        <w:rPr>
          <w:b/>
          <w:bCs/>
          <w:lang w:val="fr-BE"/>
        </w:rPr>
        <w:t>Brabant wallon</w:t>
      </w:r>
      <w:r w:rsidRPr="006E7150">
        <w:rPr>
          <w:lang w:val="fr-BE"/>
        </w:rPr>
        <w:t xml:space="preserve"> avaient un prix inférieur ou égal à 3</w:t>
      </w:r>
      <w:r w:rsidR="0088386A">
        <w:rPr>
          <w:lang w:val="fr-BE"/>
        </w:rPr>
        <w:t>3</w:t>
      </w:r>
      <w:r w:rsidRPr="006E7150">
        <w:rPr>
          <w:lang w:val="fr-BE"/>
        </w:rPr>
        <w:t>0.000 EUR. En 2024, cette médiane a augmenté de +40.000 EUR, soit 12,1% (-7,6% en tenant compte de l'inflation).</w:t>
      </w:r>
    </w:p>
    <w:p w14:paraId="284485C8" w14:textId="5C828212" w:rsidR="00035635" w:rsidRDefault="00035635" w:rsidP="00035635">
      <w:pPr>
        <w:pStyle w:val="HoofdtekstA"/>
        <w:rPr>
          <w:b/>
          <w:bCs/>
          <w:lang w:val="fr-BE"/>
        </w:rPr>
      </w:pPr>
      <w:r>
        <w:rPr>
          <w:b/>
          <w:bCs/>
          <w:lang w:val="fr-BE"/>
        </w:rPr>
        <w:t>Appartements : q</w:t>
      </w:r>
      <w:r w:rsidRPr="00C70C46">
        <w:rPr>
          <w:b/>
          <w:bCs/>
          <w:lang w:val="fr-BE"/>
        </w:rPr>
        <w:t>u’observe-ton au niveau du Brabant Wallon ?</w:t>
      </w:r>
    </w:p>
    <w:p w14:paraId="448E2EBC" w14:textId="5A224D22" w:rsidR="006E7150" w:rsidRDefault="00B771FF" w:rsidP="006E7150">
      <w:pPr>
        <w:pStyle w:val="HoofdtekstA"/>
        <w:rPr>
          <w:b/>
          <w:bCs/>
          <w:lang w:val="fr-BE"/>
        </w:rPr>
      </w:pPr>
      <w:r w:rsidRPr="00B771FF">
        <w:rPr>
          <w:b/>
          <w:bCs/>
          <w:lang w:val="fr-BE"/>
        </w:rPr>
        <w:drawing>
          <wp:inline distT="0" distB="0" distL="0" distR="0" wp14:anchorId="70F5EEA2" wp14:editId="4EA1BD59">
            <wp:extent cx="4038600" cy="2013483"/>
            <wp:effectExtent l="0" t="0" r="0" b="6350"/>
            <wp:docPr id="1726819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19164" name=""/>
                    <pic:cNvPicPr/>
                  </pic:nvPicPr>
                  <pic:blipFill>
                    <a:blip r:embed="rId13"/>
                    <a:stretch>
                      <a:fillRect/>
                    </a:stretch>
                  </pic:blipFill>
                  <pic:spPr>
                    <a:xfrm>
                      <a:off x="0" y="0"/>
                      <a:ext cx="4083461" cy="2035849"/>
                    </a:xfrm>
                    <a:prstGeom prst="rect">
                      <a:avLst/>
                    </a:prstGeom>
                  </pic:spPr>
                </pic:pic>
              </a:graphicData>
            </a:graphic>
          </wp:inline>
        </w:drawing>
      </w:r>
    </w:p>
    <w:p w14:paraId="25E084BE" w14:textId="77777777" w:rsidR="006E7150" w:rsidRPr="006E7150" w:rsidRDefault="006E7150" w:rsidP="006E7150">
      <w:pPr>
        <w:pStyle w:val="HoofdtekstA"/>
        <w:numPr>
          <w:ilvl w:val="0"/>
          <w:numId w:val="2"/>
        </w:numPr>
        <w:rPr>
          <w:lang w:val="fr-BE"/>
        </w:rPr>
      </w:pPr>
      <w:r w:rsidRPr="006E7150">
        <w:rPr>
          <w:lang w:val="fr-BE"/>
        </w:rPr>
        <w:t>Après une année de baisse en 2023, le prix médian d'un appartement en province du Brabant wallon a atteint 250.000 EUR en 2024.</w:t>
      </w:r>
    </w:p>
    <w:p w14:paraId="31513C39" w14:textId="77777777" w:rsidR="006E7150" w:rsidRPr="006E7150" w:rsidRDefault="006E7150" w:rsidP="006E7150">
      <w:pPr>
        <w:pStyle w:val="HoofdtekstA"/>
        <w:numPr>
          <w:ilvl w:val="0"/>
          <w:numId w:val="2"/>
        </w:numPr>
        <w:rPr>
          <w:lang w:val="fr-BE"/>
        </w:rPr>
      </w:pPr>
      <w:r w:rsidRPr="006E7150">
        <w:rPr>
          <w:lang w:val="fr-BE"/>
        </w:rPr>
        <w:lastRenderedPageBreak/>
        <w:t xml:space="preserve">Les appartements dans la province du Brabant wallon sont, tout comme les maisons, vendus à un prix supérieur au prix médian en Wallonie, avec une différence de 70.000 EUR. </w:t>
      </w:r>
    </w:p>
    <w:p w14:paraId="14803053" w14:textId="77777777" w:rsidR="006E7150" w:rsidRPr="006E7150" w:rsidRDefault="006E7150" w:rsidP="006E7150">
      <w:pPr>
        <w:pStyle w:val="HoofdtekstA"/>
        <w:numPr>
          <w:ilvl w:val="0"/>
          <w:numId w:val="2"/>
        </w:numPr>
        <w:rPr>
          <w:lang w:val="fr-BE"/>
        </w:rPr>
      </w:pPr>
      <w:r w:rsidRPr="006E7150">
        <w:rPr>
          <w:lang w:val="fr-BE"/>
        </w:rPr>
        <w:t xml:space="preserve">Le prix des appartements dans cette province se situe, comme pour les maisons, à la première place du classement des provinces wallonnes. Le Brabant wallon occupe la 4ème position des provinces les plus chères pour les appartements en Belgique, après le </w:t>
      </w:r>
      <w:r w:rsidRPr="006E7150">
        <w:rPr>
          <w:b/>
          <w:bCs/>
          <w:lang w:val="fr-BE"/>
        </w:rPr>
        <w:t>Brabant flamand</w:t>
      </w:r>
      <w:r w:rsidRPr="006E7150">
        <w:rPr>
          <w:lang w:val="fr-BE"/>
        </w:rPr>
        <w:t xml:space="preserve">, </w:t>
      </w:r>
      <w:r w:rsidRPr="006E7150">
        <w:rPr>
          <w:b/>
          <w:bCs/>
          <w:lang w:val="fr-BE"/>
        </w:rPr>
        <w:t>la Flandre orientale</w:t>
      </w:r>
      <w:r w:rsidRPr="006E7150">
        <w:rPr>
          <w:lang w:val="fr-BE"/>
        </w:rPr>
        <w:t xml:space="preserve">, et </w:t>
      </w:r>
      <w:r w:rsidRPr="006E7150">
        <w:rPr>
          <w:b/>
          <w:bCs/>
          <w:lang w:val="fr-BE"/>
        </w:rPr>
        <w:t>la Région de Bruxelles-Capitale</w:t>
      </w:r>
      <w:r w:rsidRPr="006E7150">
        <w:rPr>
          <w:lang w:val="fr-BE"/>
        </w:rPr>
        <w:t xml:space="preserve">, et est à égalité avec </w:t>
      </w:r>
      <w:r w:rsidRPr="006E7150">
        <w:rPr>
          <w:b/>
          <w:bCs/>
          <w:lang w:val="fr-BE"/>
        </w:rPr>
        <w:t>la Flandre occidentale</w:t>
      </w:r>
      <w:r w:rsidRPr="006E7150">
        <w:rPr>
          <w:lang w:val="fr-BE"/>
        </w:rPr>
        <w:t xml:space="preserve"> pour la 4ème place, avec un prix médian de 250.000 EUR en 2024. </w:t>
      </w:r>
    </w:p>
    <w:p w14:paraId="14CA9CEC" w14:textId="0D264DE0" w:rsidR="006E7150" w:rsidRPr="006E7150" w:rsidRDefault="006E7150" w:rsidP="006E7150">
      <w:pPr>
        <w:pStyle w:val="HoofdtekstA"/>
        <w:numPr>
          <w:ilvl w:val="0"/>
          <w:numId w:val="2"/>
        </w:numPr>
        <w:rPr>
          <w:lang w:val="fr-BE"/>
        </w:rPr>
      </w:pPr>
      <w:r w:rsidRPr="006E7150">
        <w:rPr>
          <w:lang w:val="fr-BE"/>
        </w:rPr>
        <w:t>Sur les 5 dernières années, l'évolution des prix des appartements présente une plus-value certes, mais plus faible celle des maisons (+9,5%, contre 1</w:t>
      </w:r>
      <w:r w:rsidR="00C5716A">
        <w:rPr>
          <w:lang w:val="fr-BE"/>
        </w:rPr>
        <w:t>1,1</w:t>
      </w:r>
      <w:r w:rsidRPr="006E7150">
        <w:rPr>
          <w:lang w:val="fr-BE"/>
        </w:rPr>
        <w:t>% pour les maisons).</w:t>
      </w:r>
    </w:p>
    <w:p w14:paraId="3BF2C920" w14:textId="77777777" w:rsidR="006E7150" w:rsidRPr="006E7150" w:rsidRDefault="006E7150" w:rsidP="006E7150">
      <w:pPr>
        <w:pStyle w:val="HoofdtekstA"/>
        <w:numPr>
          <w:ilvl w:val="0"/>
          <w:numId w:val="2"/>
        </w:numPr>
        <w:rPr>
          <w:lang w:val="fr-BE"/>
        </w:rPr>
      </w:pPr>
      <w:r w:rsidRPr="006E7150">
        <w:rPr>
          <w:lang w:val="fr-BE"/>
        </w:rPr>
        <w:t xml:space="preserve">La part de marché des appartements en province du Brabant wallon est de 26,6%, C’est la part la plus élevée de Wallonie. </w:t>
      </w:r>
    </w:p>
    <w:p w14:paraId="1597C2B0" w14:textId="5DB16A9B" w:rsidR="006E7150" w:rsidRDefault="006E7150" w:rsidP="006E7150">
      <w:pPr>
        <w:pStyle w:val="HoofdtekstA"/>
        <w:rPr>
          <w:b/>
          <w:bCs/>
          <w:lang w:val="fr-BE"/>
        </w:rPr>
      </w:pPr>
    </w:p>
    <w:p w14:paraId="791848AC" w14:textId="1D36A812" w:rsidR="006E7150" w:rsidRDefault="006E7150" w:rsidP="006E7150">
      <w:pPr>
        <w:pStyle w:val="HoofdtekstA"/>
        <w:rPr>
          <w:b/>
          <w:bCs/>
          <w:lang w:val="fr-BE"/>
        </w:rPr>
      </w:pPr>
      <w:r>
        <w:rPr>
          <w:b/>
          <w:bCs/>
          <w:lang w:val="fr-BE"/>
        </w:rPr>
        <w:t>Maisons et appartements : prix par commune</w:t>
      </w:r>
    </w:p>
    <w:p w14:paraId="21505A70" w14:textId="54DA77AE" w:rsidR="006E7150" w:rsidRDefault="00DA5910" w:rsidP="006E7150">
      <w:pPr>
        <w:pStyle w:val="HoofdtekstA"/>
        <w:rPr>
          <w:b/>
          <w:bCs/>
          <w:lang w:val="fr-BE"/>
        </w:rPr>
      </w:pPr>
      <w:r w:rsidRPr="006E7150">
        <w:rPr>
          <w:b/>
          <w:bCs/>
          <w:noProof/>
          <w:lang w:val="nl-BE"/>
        </w:rPr>
        <w:drawing>
          <wp:anchor distT="0" distB="0" distL="114300" distR="114300" simplePos="0" relativeHeight="251663360" behindDoc="1" locked="0" layoutInCell="1" allowOverlap="1" wp14:anchorId="77042EA9" wp14:editId="75F302E1">
            <wp:simplePos x="0" y="0"/>
            <wp:positionH relativeFrom="column">
              <wp:posOffset>3121025</wp:posOffset>
            </wp:positionH>
            <wp:positionV relativeFrom="page">
              <wp:posOffset>4314825</wp:posOffset>
            </wp:positionV>
            <wp:extent cx="2951480" cy="1587500"/>
            <wp:effectExtent l="0" t="0" r="1270" b="0"/>
            <wp:wrapSquare wrapText="bothSides"/>
            <wp:docPr id="330588196" name="Picture 2">
              <a:extLst xmlns:a="http://schemas.openxmlformats.org/drawingml/2006/main">
                <a:ext uri="{FF2B5EF4-FFF2-40B4-BE49-F238E27FC236}">
                  <a16:creationId xmlns:a16="http://schemas.microsoft.com/office/drawing/2014/main" id="{23D83057-D9A9-0DD4-9DAA-878D30983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3D83057-D9A9-0DD4-9DAA-878D30983A46}"/>
                        </a:ext>
                      </a:extLst>
                    </pic:cNvPr>
                    <pic:cNvPicPr>
                      <a:picLocks noChangeAspect="1"/>
                    </pic:cNvPicPr>
                  </pic:nvPicPr>
                  <pic:blipFill>
                    <a:blip r:embed="rId14" cstate="print">
                      <a:extLst>
                        <a:ext uri="{28A0092B-C50C-407E-A947-70E740481C1C}">
                          <a14:useLocalDpi xmlns:a14="http://schemas.microsoft.com/office/drawing/2010/main" val="0"/>
                        </a:ext>
                      </a:extLst>
                    </a:blip>
                    <a:srcRect l="1367" t="509"/>
                    <a:stretch/>
                  </pic:blipFill>
                  <pic:spPr>
                    <a:xfrm>
                      <a:off x="0" y="0"/>
                      <a:ext cx="2951480" cy="1587500"/>
                    </a:xfrm>
                    <a:prstGeom prst="rect">
                      <a:avLst/>
                    </a:prstGeom>
                  </pic:spPr>
                </pic:pic>
              </a:graphicData>
            </a:graphic>
          </wp:anchor>
        </w:drawing>
      </w:r>
      <w:r w:rsidR="006E7150" w:rsidRPr="006E7150">
        <w:rPr>
          <w:b/>
          <w:bCs/>
          <w:noProof/>
          <w:lang w:val="nl-BE"/>
        </w:rPr>
        <w:drawing>
          <wp:inline distT="0" distB="0" distL="0" distR="0" wp14:anchorId="3F6BE60D" wp14:editId="3B8B5E18">
            <wp:extent cx="2987193" cy="1596854"/>
            <wp:effectExtent l="0" t="0" r="3810" b="3810"/>
            <wp:docPr id="15" name="Picture 14">
              <a:extLst xmlns:a="http://schemas.openxmlformats.org/drawingml/2006/main">
                <a:ext uri="{FF2B5EF4-FFF2-40B4-BE49-F238E27FC236}">
                  <a16:creationId xmlns:a16="http://schemas.microsoft.com/office/drawing/2014/main" id="{B0182C36-09DE-1494-847F-AC44A68304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0182C36-09DE-1494-847F-AC44A68304F7}"/>
                        </a:ext>
                      </a:extLst>
                    </pic:cNvPr>
                    <pic:cNvPicPr>
                      <a:picLocks noChangeAspect="1"/>
                    </pic:cNvPicPr>
                  </pic:nvPicPr>
                  <pic:blipFill>
                    <a:blip r:embed="rId15"/>
                    <a:srcRect l="569" t="37516" r="51619" b="2410"/>
                    <a:stretch/>
                  </pic:blipFill>
                  <pic:spPr>
                    <a:xfrm>
                      <a:off x="0" y="0"/>
                      <a:ext cx="3007166" cy="1607531"/>
                    </a:xfrm>
                    <a:prstGeom prst="rect">
                      <a:avLst/>
                    </a:prstGeom>
                  </pic:spPr>
                </pic:pic>
              </a:graphicData>
            </a:graphic>
          </wp:inline>
        </w:drawing>
      </w:r>
      <w:r w:rsidR="006E7150" w:rsidRPr="006E7150">
        <w:rPr>
          <w:rFonts w:asciiTheme="minorHAnsi" w:eastAsiaTheme="minorHAnsi" w:hAnsiTheme="minorHAnsi" w:cstheme="minorBidi"/>
          <w:noProof/>
          <w:color w:val="auto"/>
          <w:kern w:val="2"/>
          <w:lang w:val="nl-BE" w:eastAsia="en-US"/>
          <w14:textOutline w14:w="0" w14:cap="rnd" w14:cmpd="sng" w14:algn="ctr">
            <w14:noFill/>
            <w14:prstDash w14:val="solid"/>
            <w14:bevel/>
          </w14:textOutline>
          <w14:ligatures w14:val="standardContextual"/>
        </w:rPr>
        <w:t xml:space="preserve"> </w:t>
      </w:r>
    </w:p>
    <w:p w14:paraId="203B0945" w14:textId="77777777" w:rsidR="006E7150" w:rsidRPr="006E7150" w:rsidRDefault="006E7150" w:rsidP="006E7150">
      <w:pPr>
        <w:pStyle w:val="HoofdtekstA"/>
        <w:numPr>
          <w:ilvl w:val="0"/>
          <w:numId w:val="3"/>
        </w:numPr>
        <w:rPr>
          <w:lang w:val="fr-BE"/>
        </w:rPr>
      </w:pPr>
      <w:r w:rsidRPr="006E7150">
        <w:rPr>
          <w:lang w:val="fr-FR"/>
        </w:rPr>
        <w:t xml:space="preserve">Les prix médians des maisons par commune sont très dispersés en province du Brabant wallon. La commune de </w:t>
      </w:r>
      <w:r w:rsidRPr="006E7150">
        <w:rPr>
          <w:b/>
          <w:bCs/>
          <w:lang w:val="fr-FR"/>
        </w:rPr>
        <w:t>Lasne</w:t>
      </w:r>
      <w:r w:rsidRPr="006E7150">
        <w:rPr>
          <w:lang w:val="fr-FR"/>
        </w:rPr>
        <w:t xml:space="preserve"> affiche le prix médian le plus élevé avec 610.810 EUR. La commune d’</w:t>
      </w:r>
      <w:r w:rsidRPr="006E7150">
        <w:rPr>
          <w:b/>
          <w:bCs/>
          <w:lang w:val="fr-FR"/>
        </w:rPr>
        <w:t>Hélécine</w:t>
      </w:r>
      <w:r w:rsidRPr="006E7150">
        <w:rPr>
          <w:lang w:val="fr-FR"/>
        </w:rPr>
        <w:t xml:space="preserve"> affiche le prix médian le plus bas (250.000 EUR), soit une différence de </w:t>
      </w:r>
      <w:r w:rsidRPr="006E7150">
        <w:rPr>
          <w:lang w:val="fr-BE"/>
        </w:rPr>
        <w:t>360.810 EUR.</w:t>
      </w:r>
    </w:p>
    <w:p w14:paraId="13DF60B4" w14:textId="77777777" w:rsidR="006E7150" w:rsidRPr="006E7150" w:rsidRDefault="006E7150" w:rsidP="006E7150">
      <w:pPr>
        <w:pStyle w:val="HoofdtekstA"/>
        <w:numPr>
          <w:ilvl w:val="0"/>
          <w:numId w:val="3"/>
        </w:numPr>
        <w:rPr>
          <w:lang w:val="fr-BE"/>
        </w:rPr>
      </w:pPr>
      <w:r w:rsidRPr="006E7150">
        <w:rPr>
          <w:lang w:val="fr-FR"/>
        </w:rPr>
        <w:t>La province du Brabant wallon peut être divisée en 3 zones géographiques:</w:t>
      </w:r>
    </w:p>
    <w:p w14:paraId="7B8D9B8D" w14:textId="77777777" w:rsidR="006E7150" w:rsidRPr="006E7150" w:rsidRDefault="006E7150" w:rsidP="006E7150">
      <w:pPr>
        <w:pStyle w:val="HoofdtekstA"/>
        <w:numPr>
          <w:ilvl w:val="1"/>
          <w:numId w:val="3"/>
        </w:numPr>
        <w:rPr>
          <w:lang w:val="fr-BE"/>
        </w:rPr>
      </w:pPr>
      <w:r w:rsidRPr="006E7150">
        <w:rPr>
          <w:lang w:val="fr-FR"/>
        </w:rPr>
        <w:t>Au Nord et au centre de la province, les communes les plus chères:</w:t>
      </w:r>
      <w:r w:rsidRPr="006E7150">
        <w:rPr>
          <w:lang w:val="fr-FR"/>
        </w:rPr>
        <w:br/>
        <w:t xml:space="preserve">prix médians allant de 395.000 EUR à 610.810 EUR: Waterloo, La Hulpe, Rixensart, Lasne, </w:t>
      </w:r>
      <w:r w:rsidRPr="006E7150">
        <w:rPr>
          <w:lang w:val="fr-BE"/>
        </w:rPr>
        <w:t>Ottignies-Louvain-la-Neuve, Chaumont-Gistoux, Wavre et Mont-Saint-Guibert.</w:t>
      </w:r>
    </w:p>
    <w:p w14:paraId="029558FA" w14:textId="77777777" w:rsidR="006E7150" w:rsidRPr="006E7150" w:rsidRDefault="006E7150" w:rsidP="006E7150">
      <w:pPr>
        <w:pStyle w:val="HoofdtekstA"/>
        <w:numPr>
          <w:ilvl w:val="1"/>
          <w:numId w:val="3"/>
        </w:numPr>
        <w:rPr>
          <w:lang w:val="fr-BE"/>
        </w:rPr>
      </w:pPr>
      <w:r w:rsidRPr="006E7150">
        <w:rPr>
          <w:lang w:val="fr-FR"/>
        </w:rPr>
        <w:t>Les communes limitrophes à cette zone centrale avec des prix médians de 350.000 EUR à 402.500 EUR : Braine-le-Château, Braine-l’Alleud, Genappe, Court-Saint-Etienne, Chastre, Walhain, Beauvechain et Grez-Doiceau.</w:t>
      </w:r>
    </w:p>
    <w:p w14:paraId="36831FE6" w14:textId="77777777" w:rsidR="006E7150" w:rsidRPr="006E7150" w:rsidRDefault="006E7150" w:rsidP="006E7150">
      <w:pPr>
        <w:pStyle w:val="HoofdtekstA"/>
        <w:numPr>
          <w:ilvl w:val="1"/>
          <w:numId w:val="3"/>
        </w:numPr>
        <w:rPr>
          <w:lang w:val="fr-BE"/>
        </w:rPr>
      </w:pPr>
      <w:r w:rsidRPr="006E7150">
        <w:rPr>
          <w:lang w:val="fr-FR"/>
        </w:rPr>
        <w:t>Aux extrémités de la province, les communes avec des prix médians de 250.500 EUR à 323.000 EUR : à l’ouest, Rebecq, Tubize, Nivelles, et Braine-le-Château. À l’est, Hélécine, Orp-Jauche, Ramillies, Jodoigne, Incourt, au sud Villers-la-Ville.</w:t>
      </w:r>
    </w:p>
    <w:p w14:paraId="5F6B936C" w14:textId="77777777" w:rsidR="006E7150" w:rsidRPr="006E7150" w:rsidRDefault="006E7150" w:rsidP="006E7150">
      <w:pPr>
        <w:pStyle w:val="HoofdtekstA"/>
        <w:numPr>
          <w:ilvl w:val="0"/>
          <w:numId w:val="3"/>
        </w:numPr>
        <w:rPr>
          <w:lang w:val="fr-BE"/>
        </w:rPr>
      </w:pPr>
      <w:r w:rsidRPr="006E7150">
        <w:rPr>
          <w:lang w:val="fr-FR"/>
        </w:rPr>
        <w:t>Des fortes évolutions sont à constater dans certaines communes:</w:t>
      </w:r>
    </w:p>
    <w:p w14:paraId="3D03710C" w14:textId="77777777" w:rsidR="006E7150" w:rsidRPr="006E7150" w:rsidRDefault="006E7150" w:rsidP="006E7150">
      <w:pPr>
        <w:pStyle w:val="HoofdtekstA"/>
        <w:numPr>
          <w:ilvl w:val="1"/>
          <w:numId w:val="3"/>
        </w:numPr>
        <w:rPr>
          <w:lang w:val="fr-BE"/>
        </w:rPr>
      </w:pPr>
      <w:r w:rsidRPr="006E7150">
        <w:rPr>
          <w:lang w:val="fr-FR"/>
        </w:rPr>
        <w:t xml:space="preserve">Dans le Brabant wallon, les prix baissent dans la plupart des communes. Les plus grandes baisses sont à Incourt avec -13,6% et Perwez avec -13,9%. </w:t>
      </w:r>
    </w:p>
    <w:p w14:paraId="4814B8E5" w14:textId="77777777" w:rsidR="006E7150" w:rsidRPr="006E7150" w:rsidRDefault="006E7150" w:rsidP="006E7150">
      <w:pPr>
        <w:pStyle w:val="HoofdtekstA"/>
        <w:numPr>
          <w:ilvl w:val="1"/>
          <w:numId w:val="3"/>
        </w:numPr>
        <w:rPr>
          <w:lang w:val="fr-BE"/>
        </w:rPr>
      </w:pPr>
      <w:r w:rsidRPr="006E7150">
        <w:rPr>
          <w:lang w:val="fr-FR"/>
        </w:rPr>
        <w:lastRenderedPageBreak/>
        <w:t>De faible évolutions ou une stabilité est observée à Ramillies (5,0%), Rixensart (4,5%), Ottignies-Louvain-la-Neuve (2,9%), Grez-Doiceau (2,0%), Genappe (1,9%), Villers-la-Ville (0,8%) et Beauvechain (0,0%).</w:t>
      </w:r>
    </w:p>
    <w:p w14:paraId="5E05F35E" w14:textId="77777777" w:rsidR="006E7150" w:rsidRPr="006E7150" w:rsidRDefault="006E7150" w:rsidP="006E7150">
      <w:pPr>
        <w:pStyle w:val="HoofdtekstA"/>
        <w:numPr>
          <w:ilvl w:val="1"/>
          <w:numId w:val="3"/>
        </w:numPr>
        <w:rPr>
          <w:lang w:val="fr-BE"/>
        </w:rPr>
      </w:pPr>
      <w:r w:rsidRPr="006E7150">
        <w:rPr>
          <w:lang w:val="fr-FR"/>
        </w:rPr>
        <w:t>De fortes évolutions par rapport à 2023 dans les communes de Walhain (+12,0%), La Hulpe (+8,3%) et Wavre (+8,2%).</w:t>
      </w:r>
    </w:p>
    <w:p w14:paraId="2556569C" w14:textId="77777777" w:rsidR="006E7150" w:rsidRPr="006E7150" w:rsidRDefault="006E7150" w:rsidP="006E7150">
      <w:pPr>
        <w:pStyle w:val="HoofdtekstA"/>
        <w:numPr>
          <w:ilvl w:val="0"/>
          <w:numId w:val="3"/>
        </w:numPr>
        <w:rPr>
          <w:lang w:val="fr-BE"/>
        </w:rPr>
      </w:pPr>
      <w:r w:rsidRPr="006E7150">
        <w:rPr>
          <w:lang w:val="fr-FR"/>
        </w:rPr>
        <w:t>Lasne reste la commune la plus chère de Wallonie. Au niveau national, Lasne se classe 8e, contre 7e l'année dernière, dépassée par Kraainem. Le top 10 des communes les plus chères de Wallonie comprend uniquement des communes du Brabant wallon (l'année dernière, il s'agissait de 8 communes du Brabant wallon et de 2 du Luxembourg).</w:t>
      </w:r>
    </w:p>
    <w:p w14:paraId="7C456301" w14:textId="77777777" w:rsidR="006E7150" w:rsidRPr="00DA5910" w:rsidRDefault="006E7150" w:rsidP="006E7150">
      <w:pPr>
        <w:pStyle w:val="HoofdtekstA"/>
        <w:numPr>
          <w:ilvl w:val="0"/>
          <w:numId w:val="3"/>
        </w:numPr>
        <w:rPr>
          <w:lang w:val="fr-BE"/>
        </w:rPr>
      </w:pPr>
      <w:r w:rsidRPr="006E7150">
        <w:rPr>
          <w:lang w:val="fr-FR"/>
        </w:rPr>
        <w:t>Pour les appartements, nous observons également une tendance à la baisse. Les appartements augmentent légèrement à Waterloo (+2,5%) et à Nivelles (+0,1%). Ils diminuent à Wavre (-3,8%), Tubize (-7,0%) et Braine-l’Alleud (-12,9%).</w:t>
      </w:r>
    </w:p>
    <w:p w14:paraId="73053DE8" w14:textId="77777777" w:rsidR="006E7150" w:rsidRPr="006E7150" w:rsidRDefault="006E7150" w:rsidP="00DA5910">
      <w:pPr>
        <w:pStyle w:val="HoofdtekstA"/>
        <w:ind w:left="720"/>
        <w:rPr>
          <w:lang w:val="fr-BE"/>
        </w:rPr>
      </w:pPr>
    </w:p>
    <w:p w14:paraId="7377C0A5" w14:textId="178DCA26" w:rsidR="006E7150" w:rsidRDefault="00035635" w:rsidP="006E7150">
      <w:pPr>
        <w:pStyle w:val="HoofdtekstA"/>
        <w:rPr>
          <w:b/>
          <w:bCs/>
          <w:lang w:val="fr-BE"/>
        </w:rPr>
      </w:pPr>
      <w:r>
        <w:rPr>
          <w:b/>
          <w:bCs/>
          <w:lang w:val="fr-BE"/>
        </w:rPr>
        <w:t xml:space="preserve">Positionnement du </w:t>
      </w:r>
      <w:r w:rsidR="007A6FD5">
        <w:rPr>
          <w:b/>
          <w:bCs/>
          <w:lang w:val="fr-BE"/>
        </w:rPr>
        <w:t xml:space="preserve">marché immobilier du </w:t>
      </w:r>
      <w:r>
        <w:rPr>
          <w:b/>
          <w:bCs/>
          <w:lang w:val="fr-BE"/>
        </w:rPr>
        <w:t>Brabant Wallon</w:t>
      </w:r>
      <w:r w:rsidR="007A6FD5">
        <w:rPr>
          <w:b/>
          <w:bCs/>
          <w:lang w:val="fr-BE"/>
        </w:rPr>
        <w:t xml:space="preserve"> au sein de la Belgique</w:t>
      </w:r>
      <w:r w:rsidR="00DA5910">
        <w:rPr>
          <w:b/>
          <w:bCs/>
          <w:lang w:val="fr-BE"/>
        </w:rPr>
        <w:t xml:space="preserve"> </w:t>
      </w:r>
    </w:p>
    <w:p w14:paraId="1DD9C5B3" w14:textId="14063ACE" w:rsidR="006E7150" w:rsidRDefault="006E7150" w:rsidP="006E7150">
      <w:pPr>
        <w:pStyle w:val="HoofdtekstA"/>
        <w:rPr>
          <w:b/>
          <w:bCs/>
          <w:lang w:val="fr-BE"/>
        </w:rPr>
      </w:pPr>
      <w:r w:rsidRPr="006E7150">
        <w:rPr>
          <w:b/>
          <w:bCs/>
          <w:noProof/>
          <w:lang w:val="fr-BE"/>
        </w:rPr>
        <w:drawing>
          <wp:inline distT="0" distB="0" distL="0" distR="0" wp14:anchorId="4E0AA044" wp14:editId="6B333615">
            <wp:extent cx="5731510" cy="3099435"/>
            <wp:effectExtent l="0" t="0" r="2540" b="5715"/>
            <wp:docPr id="191286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65457" name=""/>
                    <pic:cNvPicPr/>
                  </pic:nvPicPr>
                  <pic:blipFill>
                    <a:blip r:embed="rId16"/>
                    <a:stretch>
                      <a:fillRect/>
                    </a:stretch>
                  </pic:blipFill>
                  <pic:spPr>
                    <a:xfrm>
                      <a:off x="0" y="0"/>
                      <a:ext cx="5731510" cy="3099435"/>
                    </a:xfrm>
                    <a:prstGeom prst="rect">
                      <a:avLst/>
                    </a:prstGeom>
                  </pic:spPr>
                </pic:pic>
              </a:graphicData>
            </a:graphic>
          </wp:inline>
        </w:drawing>
      </w:r>
    </w:p>
    <w:p w14:paraId="52F4AD43" w14:textId="5616CAD8" w:rsidR="00AD50F9" w:rsidRPr="00AD50F9" w:rsidRDefault="00AD50F9" w:rsidP="006E7150">
      <w:pPr>
        <w:pStyle w:val="HoofdtekstA"/>
        <w:rPr>
          <w:b/>
          <w:bCs/>
          <w:i/>
          <w:iCs/>
          <w:color w:val="FF0000"/>
          <w:lang w:val="fr-BE"/>
        </w:rPr>
      </w:pPr>
      <w:r w:rsidRPr="00AD50F9">
        <w:rPr>
          <w:b/>
          <w:bCs/>
          <w:i/>
          <w:iCs/>
          <w:color w:val="FF0000"/>
          <w:lang w:val="fr-BE"/>
        </w:rPr>
        <w:t>Vous retrouverez les explications pour interpréter les données IQR en fin de dossier</w:t>
      </w:r>
    </w:p>
    <w:p w14:paraId="242EBB79" w14:textId="77777777" w:rsidR="00AD50F9" w:rsidRDefault="00AD50F9" w:rsidP="006E7150">
      <w:pPr>
        <w:pStyle w:val="HoofdtekstA"/>
        <w:rPr>
          <w:b/>
          <w:bCs/>
          <w:lang w:val="fr-BE"/>
        </w:rPr>
      </w:pPr>
    </w:p>
    <w:p w14:paraId="04CC149A" w14:textId="468F2F0F" w:rsidR="00D7594D" w:rsidRPr="00D7594D" w:rsidRDefault="00035635" w:rsidP="00D7594D">
      <w:pPr>
        <w:pStyle w:val="HoofdtekstA"/>
        <w:rPr>
          <w:lang w:val="fr-BE"/>
        </w:rPr>
      </w:pPr>
      <w:r>
        <w:rPr>
          <w:lang w:val="fr-FR"/>
        </w:rPr>
        <w:t>Il</w:t>
      </w:r>
      <w:r w:rsidR="00D7594D" w:rsidRPr="00D7594D">
        <w:rPr>
          <w:lang w:val="fr-BE"/>
        </w:rPr>
        <w:t xml:space="preserve"> est intéressant de positionner la province du Brabant wallon par rapport à la médiane nationale, régionale et par rapport aux autres provinces wallonnes. </w:t>
      </w:r>
    </w:p>
    <w:p w14:paraId="243F0FC5" w14:textId="77777777" w:rsidR="00D7594D" w:rsidRPr="00D7594D" w:rsidRDefault="00D7594D" w:rsidP="00D7594D">
      <w:pPr>
        <w:pStyle w:val="HoofdtekstA"/>
        <w:rPr>
          <w:lang w:val="fr-BE"/>
        </w:rPr>
      </w:pPr>
      <w:r w:rsidRPr="00D7594D">
        <w:rPr>
          <w:lang w:val="fr-FR"/>
        </w:rPr>
        <w:t>Cette comparaison est visible dans le graphique ci-dessus.</w:t>
      </w:r>
    </w:p>
    <w:p w14:paraId="224CB868" w14:textId="77777777" w:rsidR="00D7594D" w:rsidRPr="00D7594D" w:rsidRDefault="00D7594D" w:rsidP="00D7594D">
      <w:pPr>
        <w:pStyle w:val="HoofdtekstA"/>
        <w:rPr>
          <w:lang w:val="fr-BE"/>
        </w:rPr>
      </w:pPr>
      <w:r w:rsidRPr="00D7594D">
        <w:rPr>
          <w:lang w:val="fr-FR"/>
        </w:rPr>
        <w:t xml:space="preserve">Le prix médian pour la province du Brabant wallon est de 370.000 EUR et l’intervalle comprenant 50% des observations est de 275.000 EUR - 496.500 EUR. </w:t>
      </w:r>
    </w:p>
    <w:p w14:paraId="744B3E54" w14:textId="77777777" w:rsidR="00D7594D" w:rsidRPr="00D7594D" w:rsidRDefault="00D7594D" w:rsidP="00D7594D">
      <w:pPr>
        <w:pStyle w:val="HoofdtekstA"/>
        <w:rPr>
          <w:lang w:val="fr-BE"/>
        </w:rPr>
      </w:pPr>
      <w:r w:rsidRPr="00D7594D">
        <w:rPr>
          <w:lang w:val="fr-FR"/>
        </w:rPr>
        <w:t xml:space="preserve">Dans les pages suivantes se trouvent les médianes et intervalles de prix comprenant 50% des observations par commune. </w:t>
      </w:r>
    </w:p>
    <w:p w14:paraId="7B9E7B51" w14:textId="77777777" w:rsidR="00035635" w:rsidRDefault="00035635" w:rsidP="006E7150">
      <w:pPr>
        <w:pStyle w:val="HoofdtekstA"/>
        <w:rPr>
          <w:b/>
          <w:bCs/>
          <w:lang w:val="fr-BE"/>
        </w:rPr>
      </w:pPr>
    </w:p>
    <w:p w14:paraId="0021456B" w14:textId="77777777" w:rsidR="00035635" w:rsidRDefault="00035635" w:rsidP="006E7150">
      <w:pPr>
        <w:pStyle w:val="HoofdtekstA"/>
        <w:rPr>
          <w:b/>
          <w:bCs/>
          <w:lang w:val="fr-BE"/>
        </w:rPr>
      </w:pPr>
    </w:p>
    <w:p w14:paraId="5FF5741F" w14:textId="39BC0442" w:rsidR="006E7150" w:rsidRDefault="00035635" w:rsidP="006E7150">
      <w:pPr>
        <w:pStyle w:val="HoofdtekstA"/>
        <w:rPr>
          <w:b/>
          <w:bCs/>
          <w:lang w:val="fr-BE"/>
        </w:rPr>
      </w:pPr>
      <w:r>
        <w:rPr>
          <w:b/>
          <w:bCs/>
          <w:lang w:val="fr-BE"/>
        </w:rPr>
        <w:t xml:space="preserve">Positionnement des </w:t>
      </w:r>
      <w:r w:rsidR="00AD50F9">
        <w:rPr>
          <w:b/>
          <w:bCs/>
          <w:lang w:val="fr-BE"/>
        </w:rPr>
        <w:t xml:space="preserve">maisons dans les </w:t>
      </w:r>
      <w:r>
        <w:rPr>
          <w:b/>
          <w:bCs/>
          <w:lang w:val="fr-BE"/>
        </w:rPr>
        <w:t>communes au sein du Brabant Wallon</w:t>
      </w:r>
    </w:p>
    <w:p w14:paraId="5B74B574" w14:textId="77777777" w:rsidR="00035635" w:rsidRDefault="00D7594D" w:rsidP="00D7594D">
      <w:pPr>
        <w:pStyle w:val="HoofdtekstA"/>
        <w:numPr>
          <w:ilvl w:val="0"/>
          <w:numId w:val="4"/>
        </w:numPr>
        <w:rPr>
          <w:lang w:val="fr-BE"/>
        </w:rPr>
      </w:pPr>
      <w:r w:rsidRPr="00D7594D">
        <w:rPr>
          <w:noProof/>
          <w:lang w:val="fr-FR"/>
        </w:rPr>
        <w:drawing>
          <wp:inline distT="0" distB="0" distL="0" distR="0" wp14:anchorId="5A49F56F" wp14:editId="2C3F2EAA">
            <wp:extent cx="5102860" cy="2847674"/>
            <wp:effectExtent l="0" t="0" r="2540" b="0"/>
            <wp:docPr id="42241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18190" name=""/>
                    <pic:cNvPicPr/>
                  </pic:nvPicPr>
                  <pic:blipFill>
                    <a:blip r:embed="rId17"/>
                    <a:stretch>
                      <a:fillRect/>
                    </a:stretch>
                  </pic:blipFill>
                  <pic:spPr>
                    <a:xfrm>
                      <a:off x="0" y="0"/>
                      <a:ext cx="5122439" cy="2858600"/>
                    </a:xfrm>
                    <a:prstGeom prst="rect">
                      <a:avLst/>
                    </a:prstGeom>
                  </pic:spPr>
                </pic:pic>
              </a:graphicData>
            </a:graphic>
          </wp:inline>
        </w:drawing>
      </w:r>
    </w:p>
    <w:p w14:paraId="0D3ABA5F" w14:textId="2762078C" w:rsidR="00D7594D" w:rsidRPr="00D7594D" w:rsidRDefault="00D7594D" w:rsidP="00035635">
      <w:pPr>
        <w:pStyle w:val="HoofdtekstA"/>
        <w:rPr>
          <w:lang w:val="fr-BE"/>
        </w:rPr>
      </w:pPr>
      <w:r w:rsidRPr="00D7594D">
        <w:rPr>
          <w:lang w:val="fr-BE"/>
        </w:rPr>
        <w:t>De manière générale, plus le prix médian est élevé dans une commune / entité communale, plus l’intervalle comprenant 50% des observations autour de la médiane sera grand. Nous pouvons en déduire que le marché des maisons y est plus hétérogène.</w:t>
      </w:r>
    </w:p>
    <w:p w14:paraId="210C79F9" w14:textId="77777777" w:rsidR="00D7594D" w:rsidRPr="00D7594D" w:rsidRDefault="00D7594D" w:rsidP="00D7594D">
      <w:pPr>
        <w:pStyle w:val="HoofdtekstA"/>
        <w:numPr>
          <w:ilvl w:val="0"/>
          <w:numId w:val="4"/>
        </w:numPr>
        <w:rPr>
          <w:lang w:val="fr-BE"/>
        </w:rPr>
      </w:pPr>
      <w:r w:rsidRPr="00D7594D">
        <w:rPr>
          <w:lang w:val="fr-BE"/>
        </w:rPr>
        <w:t xml:space="preserve">Dans les entités communales de </w:t>
      </w:r>
      <w:r w:rsidRPr="00D7594D">
        <w:rPr>
          <w:b/>
          <w:bCs/>
          <w:lang w:val="fr-BE"/>
        </w:rPr>
        <w:t>Hélécine</w:t>
      </w:r>
      <w:r w:rsidRPr="00D7594D">
        <w:rPr>
          <w:lang w:val="fr-BE"/>
        </w:rPr>
        <w:t>,</w:t>
      </w:r>
      <w:r w:rsidRPr="00D7594D">
        <w:rPr>
          <w:b/>
          <w:bCs/>
          <w:lang w:val="fr-BE"/>
        </w:rPr>
        <w:t xml:space="preserve"> Orp-Jauche, Rebecq </w:t>
      </w:r>
      <w:r w:rsidRPr="00D7594D">
        <w:rPr>
          <w:lang w:val="fr-BE"/>
        </w:rPr>
        <w:t xml:space="preserve">et </w:t>
      </w:r>
      <w:r w:rsidRPr="00D7594D">
        <w:rPr>
          <w:b/>
          <w:bCs/>
          <w:lang w:val="fr-BE"/>
        </w:rPr>
        <w:t>Tubize</w:t>
      </w:r>
      <w:r w:rsidRPr="00D7594D">
        <w:rPr>
          <w:lang w:val="fr-BE"/>
        </w:rPr>
        <w:t xml:space="preserve"> au moins 75% des maisons sont vendues à un prix inférieur à la médiane de l’arrondissement de Nivelles (370.000 EUR). </w:t>
      </w:r>
    </w:p>
    <w:p w14:paraId="76B0066B" w14:textId="77777777" w:rsidR="00D7594D" w:rsidRPr="00D7594D" w:rsidRDefault="00D7594D" w:rsidP="00D7594D">
      <w:pPr>
        <w:pStyle w:val="HoofdtekstA"/>
        <w:numPr>
          <w:ilvl w:val="0"/>
          <w:numId w:val="4"/>
        </w:numPr>
        <w:rPr>
          <w:lang w:val="fr-BE"/>
        </w:rPr>
      </w:pPr>
      <w:r w:rsidRPr="00D7594D">
        <w:rPr>
          <w:lang w:val="fr-BE"/>
        </w:rPr>
        <w:t>Dans les entités communales de </w:t>
      </w:r>
      <w:r w:rsidRPr="00D7594D">
        <w:rPr>
          <w:b/>
          <w:bCs/>
          <w:lang w:val="fr-BE"/>
        </w:rPr>
        <w:t>Chaumont-Gistoux, La Hulpe, Lasne</w:t>
      </w:r>
      <w:r w:rsidRPr="00D7594D">
        <w:rPr>
          <w:lang w:val="fr-BE"/>
        </w:rPr>
        <w:t xml:space="preserve"> et</w:t>
      </w:r>
      <w:r w:rsidRPr="00D7594D">
        <w:rPr>
          <w:b/>
          <w:bCs/>
          <w:lang w:val="fr-BE"/>
        </w:rPr>
        <w:t xml:space="preserve"> Waterloo,</w:t>
      </w:r>
      <w:r w:rsidRPr="00D7594D">
        <w:rPr>
          <w:lang w:val="fr-BE"/>
        </w:rPr>
        <w:t xml:space="preserve"> au moins 75% des maisons sont vendues à un prix supérieur à la médiane de l’arrondissement de Nivelles (370.000 EUR). </w:t>
      </w:r>
    </w:p>
    <w:p w14:paraId="59F32337" w14:textId="77777777" w:rsidR="00D7594D" w:rsidRPr="00D7594D" w:rsidRDefault="00D7594D" w:rsidP="00D7594D">
      <w:pPr>
        <w:pStyle w:val="HoofdtekstA"/>
        <w:numPr>
          <w:ilvl w:val="0"/>
          <w:numId w:val="4"/>
        </w:numPr>
        <w:rPr>
          <w:lang w:val="fr-BE"/>
        </w:rPr>
      </w:pPr>
      <w:r w:rsidRPr="00D7594D">
        <w:rPr>
          <w:lang w:val="fr-BE"/>
        </w:rPr>
        <w:t xml:space="preserve">L’entité communale de </w:t>
      </w:r>
      <w:r w:rsidRPr="00D7594D">
        <w:rPr>
          <w:b/>
          <w:bCs/>
          <w:lang w:val="fr-BE"/>
        </w:rPr>
        <w:t xml:space="preserve">Lasne </w:t>
      </w:r>
      <w:r w:rsidRPr="00D7594D">
        <w:rPr>
          <w:lang w:val="fr-BE"/>
        </w:rPr>
        <w:t xml:space="preserve">a la limite supérieure la plus élevée. En 2024, 25% des maisons sont vendues à un prix supérieur à 898.750 EUR.  </w:t>
      </w:r>
    </w:p>
    <w:p w14:paraId="5F9AE7FE" w14:textId="77777777" w:rsidR="00D7594D" w:rsidRPr="00D7594D" w:rsidRDefault="00D7594D" w:rsidP="00D7594D">
      <w:pPr>
        <w:pStyle w:val="HoofdtekstA"/>
        <w:numPr>
          <w:ilvl w:val="0"/>
          <w:numId w:val="4"/>
        </w:numPr>
        <w:rPr>
          <w:lang w:val="fr-BE"/>
        </w:rPr>
      </w:pPr>
      <w:r w:rsidRPr="00D7594D">
        <w:rPr>
          <w:lang w:val="fr-BE"/>
        </w:rPr>
        <w:t xml:space="preserve">La limite inférieure la plus basse se trouve à </w:t>
      </w:r>
      <w:r w:rsidRPr="00D7594D">
        <w:rPr>
          <w:b/>
          <w:bCs/>
          <w:lang w:val="fr-BE"/>
        </w:rPr>
        <w:t>Hélécine</w:t>
      </w:r>
      <w:r w:rsidRPr="00D7594D">
        <w:rPr>
          <w:lang w:val="fr-BE"/>
        </w:rPr>
        <w:t xml:space="preserve">. 25% des maisons vendues en 2024 avaient un prix inférieur à 175.500 EUR. </w:t>
      </w:r>
    </w:p>
    <w:p w14:paraId="6674A1D3" w14:textId="54C2F482" w:rsidR="006E7150" w:rsidRPr="00D7594D" w:rsidRDefault="006E7150" w:rsidP="006E7150">
      <w:pPr>
        <w:pStyle w:val="HoofdtekstA"/>
        <w:rPr>
          <w:lang w:val="fr-BE"/>
        </w:rPr>
      </w:pPr>
    </w:p>
    <w:p w14:paraId="389F54E9" w14:textId="77777777" w:rsidR="00AD50F9" w:rsidRDefault="00AD50F9" w:rsidP="00AD50F9">
      <w:pPr>
        <w:pStyle w:val="HoofdtekstA"/>
        <w:rPr>
          <w:b/>
          <w:bCs/>
          <w:lang w:val="fr-BE"/>
        </w:rPr>
      </w:pPr>
    </w:p>
    <w:p w14:paraId="56243DE8" w14:textId="77777777" w:rsidR="00AD50F9" w:rsidRDefault="00AD50F9" w:rsidP="00AD50F9">
      <w:pPr>
        <w:pStyle w:val="HoofdtekstA"/>
        <w:rPr>
          <w:b/>
          <w:bCs/>
          <w:lang w:val="fr-BE"/>
        </w:rPr>
      </w:pPr>
    </w:p>
    <w:p w14:paraId="73714061" w14:textId="77777777" w:rsidR="00AD50F9" w:rsidRDefault="00AD50F9" w:rsidP="00AD50F9">
      <w:pPr>
        <w:pStyle w:val="HoofdtekstA"/>
        <w:rPr>
          <w:b/>
          <w:bCs/>
          <w:lang w:val="fr-BE"/>
        </w:rPr>
      </w:pPr>
    </w:p>
    <w:p w14:paraId="08E519B8" w14:textId="77777777" w:rsidR="00AD50F9" w:rsidRDefault="00AD50F9" w:rsidP="00AD50F9">
      <w:pPr>
        <w:pStyle w:val="HoofdtekstA"/>
        <w:rPr>
          <w:b/>
          <w:bCs/>
          <w:lang w:val="fr-BE"/>
        </w:rPr>
      </w:pPr>
    </w:p>
    <w:p w14:paraId="0467F38E" w14:textId="77777777" w:rsidR="007A6FD5" w:rsidRDefault="007A6FD5" w:rsidP="00AD50F9">
      <w:pPr>
        <w:pStyle w:val="HoofdtekstA"/>
        <w:rPr>
          <w:b/>
          <w:bCs/>
          <w:lang w:val="fr-BE"/>
        </w:rPr>
      </w:pPr>
    </w:p>
    <w:p w14:paraId="62F39137" w14:textId="7699C6AE" w:rsidR="00AD50F9" w:rsidRDefault="00AD50F9" w:rsidP="00AD50F9">
      <w:pPr>
        <w:pStyle w:val="HoofdtekstA"/>
        <w:rPr>
          <w:b/>
          <w:bCs/>
          <w:lang w:val="fr-BE"/>
        </w:rPr>
      </w:pPr>
      <w:r>
        <w:rPr>
          <w:b/>
          <w:bCs/>
          <w:lang w:val="fr-BE"/>
        </w:rPr>
        <w:t>Positionnement des appartements dans les communes au sein du Brabant Wallon</w:t>
      </w:r>
    </w:p>
    <w:p w14:paraId="03C22513" w14:textId="77777777" w:rsidR="007A6FD5" w:rsidRPr="007A6FD5" w:rsidRDefault="00D7594D" w:rsidP="00D7594D">
      <w:pPr>
        <w:pStyle w:val="HoofdtekstA"/>
        <w:numPr>
          <w:ilvl w:val="0"/>
          <w:numId w:val="5"/>
        </w:numPr>
        <w:rPr>
          <w:lang w:val="fr-BE"/>
        </w:rPr>
      </w:pPr>
      <w:r w:rsidRPr="00D7594D">
        <w:rPr>
          <w:noProof/>
          <w:lang w:val="fr-FR"/>
        </w:rPr>
        <w:lastRenderedPageBreak/>
        <w:drawing>
          <wp:inline distT="0" distB="0" distL="0" distR="0" wp14:anchorId="01CBEE17" wp14:editId="287F3609">
            <wp:extent cx="5731510" cy="3208655"/>
            <wp:effectExtent l="0" t="0" r="2540" b="0"/>
            <wp:docPr id="493593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93449" name=""/>
                    <pic:cNvPicPr/>
                  </pic:nvPicPr>
                  <pic:blipFill>
                    <a:blip r:embed="rId18"/>
                    <a:stretch>
                      <a:fillRect/>
                    </a:stretch>
                  </pic:blipFill>
                  <pic:spPr>
                    <a:xfrm>
                      <a:off x="0" y="0"/>
                      <a:ext cx="5731510" cy="3208655"/>
                    </a:xfrm>
                    <a:prstGeom prst="rect">
                      <a:avLst/>
                    </a:prstGeom>
                  </pic:spPr>
                </pic:pic>
              </a:graphicData>
            </a:graphic>
          </wp:inline>
        </w:drawing>
      </w:r>
      <w:r w:rsidRPr="00D7594D">
        <w:rPr>
          <w:rFonts w:eastAsiaTheme="minorEastAsia"/>
          <w:color w:val="000000" w:themeColor="text1"/>
          <w:kern w:val="24"/>
          <w:sz w:val="20"/>
          <w:szCs w:val="20"/>
          <w:lang w:val="fr-FR"/>
        </w:rPr>
        <w:t xml:space="preserve"> </w:t>
      </w:r>
    </w:p>
    <w:p w14:paraId="321FD163" w14:textId="22F74942" w:rsidR="00D7594D" w:rsidRPr="00D7594D" w:rsidRDefault="00D7594D" w:rsidP="00D7594D">
      <w:pPr>
        <w:pStyle w:val="HoofdtekstA"/>
        <w:numPr>
          <w:ilvl w:val="0"/>
          <w:numId w:val="5"/>
        </w:numPr>
        <w:rPr>
          <w:lang w:val="fr-BE"/>
        </w:rPr>
      </w:pPr>
      <w:r w:rsidRPr="00D7594D">
        <w:rPr>
          <w:lang w:val="fr-FR"/>
        </w:rPr>
        <w:t xml:space="preserve">Dans les entités communales de </w:t>
      </w:r>
      <w:r w:rsidRPr="00D7594D">
        <w:rPr>
          <w:b/>
          <w:bCs/>
          <w:lang w:val="fr-FR"/>
        </w:rPr>
        <w:t>Perwez</w:t>
      </w:r>
      <w:r w:rsidRPr="00D7594D">
        <w:rPr>
          <w:lang w:val="fr-FR"/>
        </w:rPr>
        <w:t xml:space="preserve"> et </w:t>
      </w:r>
      <w:r w:rsidRPr="00D7594D">
        <w:rPr>
          <w:b/>
          <w:bCs/>
          <w:lang w:val="fr-FR"/>
        </w:rPr>
        <w:t>Tubize</w:t>
      </w:r>
      <w:r w:rsidRPr="00D7594D">
        <w:rPr>
          <w:lang w:val="fr-FR"/>
        </w:rPr>
        <w:t xml:space="preserve">, 75% des appartements sont vendus à un prix inférieur à la médiane de l’arrondissement (250.000 EUR). </w:t>
      </w:r>
    </w:p>
    <w:p w14:paraId="09B091CB" w14:textId="77777777" w:rsidR="00D7594D" w:rsidRPr="00D7594D" w:rsidRDefault="00D7594D" w:rsidP="00D7594D">
      <w:pPr>
        <w:pStyle w:val="HoofdtekstA"/>
        <w:numPr>
          <w:ilvl w:val="0"/>
          <w:numId w:val="5"/>
        </w:numPr>
        <w:rPr>
          <w:lang w:val="fr-BE"/>
        </w:rPr>
      </w:pPr>
      <w:r w:rsidRPr="00D7594D">
        <w:rPr>
          <w:lang w:val="fr-FR"/>
        </w:rPr>
        <w:t xml:space="preserve">Dans les entités communales de </w:t>
      </w:r>
      <w:r w:rsidRPr="00D7594D">
        <w:rPr>
          <w:b/>
          <w:bCs/>
          <w:lang w:val="fr-FR"/>
        </w:rPr>
        <w:t>Chaumont-Gistoux, Lasne</w:t>
      </w:r>
      <w:r w:rsidRPr="00D7594D">
        <w:rPr>
          <w:lang w:val="fr-FR"/>
        </w:rPr>
        <w:t xml:space="preserve"> et </w:t>
      </w:r>
      <w:r w:rsidRPr="00D7594D">
        <w:rPr>
          <w:b/>
          <w:bCs/>
          <w:lang w:val="fr-FR"/>
        </w:rPr>
        <w:t>Waterloo</w:t>
      </w:r>
      <w:r w:rsidRPr="00D7594D">
        <w:rPr>
          <w:lang w:val="fr-FR"/>
        </w:rPr>
        <w:t xml:space="preserve">, 75% des appartements sont vendus à un prix supérieur à la médiane de l’arrondissement (250.000 EUR).  </w:t>
      </w:r>
    </w:p>
    <w:p w14:paraId="55D5CF85" w14:textId="77777777" w:rsidR="00D7594D" w:rsidRPr="00D7594D" w:rsidRDefault="00D7594D" w:rsidP="00D7594D">
      <w:pPr>
        <w:pStyle w:val="HoofdtekstA"/>
        <w:numPr>
          <w:ilvl w:val="0"/>
          <w:numId w:val="5"/>
        </w:numPr>
        <w:rPr>
          <w:lang w:val="fr-BE"/>
        </w:rPr>
      </w:pPr>
      <w:r w:rsidRPr="00D7594D">
        <w:rPr>
          <w:lang w:val="fr-FR"/>
        </w:rPr>
        <w:t xml:space="preserve">L’entité communale de </w:t>
      </w:r>
      <w:r w:rsidRPr="00D7594D">
        <w:rPr>
          <w:b/>
          <w:bCs/>
          <w:lang w:val="fr-FR"/>
        </w:rPr>
        <w:t xml:space="preserve">Lasne </w:t>
      </w:r>
      <w:r w:rsidRPr="00D7594D">
        <w:rPr>
          <w:lang w:val="fr-FR"/>
        </w:rPr>
        <w:t xml:space="preserve">a la limite supérieure la plus élevée. En 2024, 25% des appartements y sont vendus à un prix supérieur à 730.202 EUR. </w:t>
      </w:r>
    </w:p>
    <w:p w14:paraId="0686F2B1" w14:textId="77777777" w:rsidR="00D7594D" w:rsidRPr="00D7594D" w:rsidRDefault="00D7594D" w:rsidP="00D7594D">
      <w:pPr>
        <w:pStyle w:val="HoofdtekstA"/>
        <w:numPr>
          <w:ilvl w:val="0"/>
          <w:numId w:val="5"/>
        </w:numPr>
        <w:rPr>
          <w:lang w:val="fr-BE"/>
        </w:rPr>
      </w:pPr>
      <w:r w:rsidRPr="00D7594D">
        <w:rPr>
          <w:lang w:val="fr-FR"/>
        </w:rPr>
        <w:t xml:space="preserve">La limite inférieure la plus basse se trouve à </w:t>
      </w:r>
      <w:r w:rsidRPr="00D7594D">
        <w:rPr>
          <w:b/>
          <w:bCs/>
          <w:lang w:val="fr-FR"/>
        </w:rPr>
        <w:t>Ottignies-Louvain-la-Neuve</w:t>
      </w:r>
      <w:r w:rsidRPr="00D7594D">
        <w:rPr>
          <w:lang w:val="fr-FR"/>
        </w:rPr>
        <w:t xml:space="preserve">. 25% des appartements vendus en 2024 avaient un prix inférieur à 140.000 EUR. </w:t>
      </w:r>
    </w:p>
    <w:p w14:paraId="02192DD2" w14:textId="77777777" w:rsidR="00D7594D" w:rsidRPr="00AD50F9" w:rsidRDefault="00D7594D" w:rsidP="00D7594D">
      <w:pPr>
        <w:pStyle w:val="HoofdtekstA"/>
        <w:numPr>
          <w:ilvl w:val="0"/>
          <w:numId w:val="5"/>
        </w:numPr>
        <w:rPr>
          <w:lang w:val="fr-BE"/>
        </w:rPr>
      </w:pPr>
      <w:r w:rsidRPr="00D7594D">
        <w:rPr>
          <w:lang w:val="fr-FR"/>
        </w:rPr>
        <w:t xml:space="preserve">Le marché des appartements à </w:t>
      </w:r>
      <w:r w:rsidRPr="00D7594D">
        <w:rPr>
          <w:b/>
          <w:bCs/>
          <w:lang w:val="fr-FR"/>
        </w:rPr>
        <w:t xml:space="preserve">Lasne </w:t>
      </w:r>
      <w:r w:rsidRPr="00D7594D">
        <w:rPr>
          <w:lang w:val="fr-FR"/>
        </w:rPr>
        <w:t>et </w:t>
      </w:r>
      <w:r w:rsidRPr="00D7594D">
        <w:rPr>
          <w:b/>
          <w:bCs/>
          <w:lang w:val="fr-FR"/>
        </w:rPr>
        <w:t>Ottignies-Louvain-la-Neuve</w:t>
      </w:r>
      <w:r w:rsidRPr="00D7594D">
        <w:rPr>
          <w:lang w:val="fr-FR"/>
        </w:rPr>
        <w:t xml:space="preserve"> est très hétérogène, la distance interquartile est grande (respectivement 275.202 EUR et 185.000 EUR). </w:t>
      </w:r>
    </w:p>
    <w:p w14:paraId="291B7B35" w14:textId="77777777" w:rsidR="00D7594D" w:rsidRPr="00D7594D" w:rsidRDefault="00D7594D" w:rsidP="00AD50F9">
      <w:pPr>
        <w:pStyle w:val="HoofdtekstA"/>
        <w:ind w:left="720"/>
        <w:rPr>
          <w:lang w:val="fr-BE"/>
        </w:rPr>
      </w:pPr>
    </w:p>
    <w:p w14:paraId="643D67A9" w14:textId="5D39B304" w:rsidR="006E7150" w:rsidRDefault="00D7594D" w:rsidP="006E7150">
      <w:pPr>
        <w:pStyle w:val="HoofdtekstA"/>
        <w:rPr>
          <w:b/>
          <w:bCs/>
          <w:lang w:val="fr-BE"/>
        </w:rPr>
      </w:pPr>
      <w:r>
        <w:rPr>
          <w:b/>
          <w:bCs/>
          <w:lang w:val="fr-BE"/>
        </w:rPr>
        <w:t>Age moyen</w:t>
      </w:r>
    </w:p>
    <w:p w14:paraId="4AD12F42" w14:textId="6230A1E3" w:rsidR="00D7594D" w:rsidRDefault="00D7594D" w:rsidP="006E7150">
      <w:pPr>
        <w:pStyle w:val="HoofdtekstA"/>
        <w:rPr>
          <w:b/>
          <w:bCs/>
          <w:lang w:val="fr-BE"/>
        </w:rPr>
      </w:pPr>
      <w:r w:rsidRPr="00D7594D">
        <w:rPr>
          <w:b/>
          <w:bCs/>
          <w:noProof/>
          <w:lang w:val="fr-BE"/>
        </w:rPr>
        <w:drawing>
          <wp:inline distT="0" distB="0" distL="0" distR="0" wp14:anchorId="1E63A97A" wp14:editId="366A3171">
            <wp:extent cx="2533650" cy="1329703"/>
            <wp:effectExtent l="0" t="0" r="0" b="3810"/>
            <wp:docPr id="926992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92358" name=""/>
                    <pic:cNvPicPr/>
                  </pic:nvPicPr>
                  <pic:blipFill>
                    <a:blip r:embed="rId19"/>
                    <a:stretch>
                      <a:fillRect/>
                    </a:stretch>
                  </pic:blipFill>
                  <pic:spPr>
                    <a:xfrm>
                      <a:off x="0" y="0"/>
                      <a:ext cx="2547756" cy="1337106"/>
                    </a:xfrm>
                    <a:prstGeom prst="rect">
                      <a:avLst/>
                    </a:prstGeom>
                  </pic:spPr>
                </pic:pic>
              </a:graphicData>
            </a:graphic>
          </wp:inline>
        </w:drawing>
      </w:r>
      <w:r w:rsidRPr="00D7594D">
        <w:rPr>
          <w:noProof/>
        </w:rPr>
        <w:t xml:space="preserve"> </w:t>
      </w:r>
      <w:r w:rsidRPr="00D7594D">
        <w:rPr>
          <w:b/>
          <w:bCs/>
          <w:noProof/>
          <w:lang w:val="fr-BE"/>
        </w:rPr>
        <w:drawing>
          <wp:inline distT="0" distB="0" distL="0" distR="0" wp14:anchorId="5F953BD5" wp14:editId="61730A18">
            <wp:extent cx="2990850" cy="1343994"/>
            <wp:effectExtent l="0" t="0" r="0" b="8890"/>
            <wp:docPr id="213165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50835" name=""/>
                    <pic:cNvPicPr/>
                  </pic:nvPicPr>
                  <pic:blipFill>
                    <a:blip r:embed="rId20"/>
                    <a:stretch>
                      <a:fillRect/>
                    </a:stretch>
                  </pic:blipFill>
                  <pic:spPr>
                    <a:xfrm>
                      <a:off x="0" y="0"/>
                      <a:ext cx="3016316" cy="1355438"/>
                    </a:xfrm>
                    <a:prstGeom prst="rect">
                      <a:avLst/>
                    </a:prstGeom>
                  </pic:spPr>
                </pic:pic>
              </a:graphicData>
            </a:graphic>
          </wp:inline>
        </w:drawing>
      </w:r>
    </w:p>
    <w:p w14:paraId="2359031C" w14:textId="49EB8AE0" w:rsidR="00D7594D" w:rsidRPr="00D7594D" w:rsidRDefault="00D7594D" w:rsidP="00D7594D">
      <w:pPr>
        <w:pStyle w:val="HoofdtekstA"/>
        <w:numPr>
          <w:ilvl w:val="0"/>
          <w:numId w:val="6"/>
        </w:numPr>
        <w:rPr>
          <w:lang w:val="fr-BE"/>
        </w:rPr>
      </w:pPr>
      <w:r w:rsidRPr="00D7594D">
        <w:rPr>
          <w:lang w:val="fr-FR"/>
        </w:rPr>
        <w:t>Bien que l'âge moyen soit de 39 ans, le groupe d'âge le plus important des acheteurs se situe entre 26 et 30 ans.</w:t>
      </w:r>
    </w:p>
    <w:p w14:paraId="22BE9FA7" w14:textId="4A14F0F1" w:rsidR="006E7150" w:rsidRDefault="00D7594D" w:rsidP="00D7594D">
      <w:pPr>
        <w:pStyle w:val="HoofdtekstA"/>
        <w:rPr>
          <w:lang w:val="fr-FR"/>
        </w:rPr>
      </w:pPr>
      <w:r w:rsidRPr="00D7594D">
        <w:rPr>
          <w:lang w:val="fr-FR"/>
        </w:rPr>
        <w:t>Pour les tranches d'âge de moins de 50 ans, la distribution entre maison et appartement est similaire et le plus grand segment est à nouveau celui des 26-30 ans. Cependant, les tranches d'âge de plus de 50 ans continuent d'acheter des appartements, tandis que l’achat de maisons diminue</w:t>
      </w:r>
      <w:r w:rsidR="007A6FD5">
        <w:rPr>
          <w:lang w:val="fr-FR"/>
        </w:rPr>
        <w:t>.</w:t>
      </w:r>
    </w:p>
    <w:p w14:paraId="6E16712E" w14:textId="77777777" w:rsidR="007A6FD5" w:rsidRDefault="007A6FD5" w:rsidP="00D7594D">
      <w:pPr>
        <w:pStyle w:val="HoofdtekstA"/>
        <w:rPr>
          <w:lang w:val="fr-FR"/>
        </w:rPr>
      </w:pPr>
    </w:p>
    <w:p w14:paraId="05FF9AAB" w14:textId="517BB2C3" w:rsidR="006E7150" w:rsidRDefault="00D7594D" w:rsidP="006E7150">
      <w:pPr>
        <w:pStyle w:val="HoofdtekstA"/>
        <w:rPr>
          <w:b/>
          <w:bCs/>
          <w:lang w:val="fr-BE"/>
        </w:rPr>
      </w:pPr>
      <w:r>
        <w:rPr>
          <w:b/>
          <w:bCs/>
          <w:lang w:val="fr-BE"/>
        </w:rPr>
        <w:t>Biddit</w:t>
      </w:r>
    </w:p>
    <w:p w14:paraId="226F339F" w14:textId="5E111B45" w:rsidR="00D7594D" w:rsidRDefault="00D7594D" w:rsidP="006E7150">
      <w:pPr>
        <w:pStyle w:val="HoofdtekstA"/>
        <w:rPr>
          <w:b/>
          <w:bCs/>
          <w:lang w:val="fr-BE"/>
        </w:rPr>
      </w:pPr>
      <w:r w:rsidRPr="00D7594D">
        <w:rPr>
          <w:b/>
          <w:bCs/>
          <w:noProof/>
          <w:lang w:val="fr-BE"/>
        </w:rPr>
        <w:drawing>
          <wp:inline distT="0" distB="0" distL="0" distR="0" wp14:anchorId="51500167" wp14:editId="23C76D6F">
            <wp:extent cx="4114800" cy="1928385"/>
            <wp:effectExtent l="0" t="0" r="0" b="0"/>
            <wp:docPr id="65247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70483" name=""/>
                    <pic:cNvPicPr/>
                  </pic:nvPicPr>
                  <pic:blipFill>
                    <a:blip r:embed="rId21"/>
                    <a:stretch>
                      <a:fillRect/>
                    </a:stretch>
                  </pic:blipFill>
                  <pic:spPr>
                    <a:xfrm>
                      <a:off x="0" y="0"/>
                      <a:ext cx="4125871" cy="1933573"/>
                    </a:xfrm>
                    <a:prstGeom prst="rect">
                      <a:avLst/>
                    </a:prstGeom>
                  </pic:spPr>
                </pic:pic>
              </a:graphicData>
            </a:graphic>
          </wp:inline>
        </w:drawing>
      </w:r>
    </w:p>
    <w:p w14:paraId="1154F2D8" w14:textId="77777777" w:rsidR="00D7594D" w:rsidRPr="00D7594D" w:rsidRDefault="00D7594D" w:rsidP="00D7594D">
      <w:pPr>
        <w:pStyle w:val="HoofdtekstA"/>
        <w:numPr>
          <w:ilvl w:val="0"/>
          <w:numId w:val="7"/>
        </w:numPr>
        <w:rPr>
          <w:lang w:val="fr-BE"/>
        </w:rPr>
      </w:pPr>
      <w:r w:rsidRPr="00D7594D">
        <w:rPr>
          <w:lang w:val="fr-BE"/>
        </w:rPr>
        <w:t>En Wallonie et à Bruxelles, le nombre de publications sur Biddit est en baisse, tandis qu'il est en augmentation en Flandre.</w:t>
      </w:r>
    </w:p>
    <w:p w14:paraId="02F50191" w14:textId="77777777" w:rsidR="00D7594D" w:rsidRPr="00D7594D" w:rsidRDefault="00D7594D" w:rsidP="00D7594D">
      <w:pPr>
        <w:pStyle w:val="HoofdtekstA"/>
        <w:numPr>
          <w:ilvl w:val="0"/>
          <w:numId w:val="7"/>
        </w:numPr>
        <w:rPr>
          <w:lang w:val="fr-BE"/>
        </w:rPr>
      </w:pPr>
      <w:r w:rsidRPr="00D7594D">
        <w:rPr>
          <w:lang w:val="fr-BE"/>
        </w:rPr>
        <w:t>Le mois de l'année comptant le plus de visites est juin.</w:t>
      </w:r>
    </w:p>
    <w:p w14:paraId="0C49DAE4" w14:textId="77777777" w:rsidR="00D7594D" w:rsidRPr="00D7594D" w:rsidRDefault="00D7594D" w:rsidP="00D7594D">
      <w:pPr>
        <w:pStyle w:val="HoofdtekstA"/>
        <w:numPr>
          <w:ilvl w:val="0"/>
          <w:numId w:val="7"/>
        </w:numPr>
        <w:rPr>
          <w:lang w:val="fr-BE"/>
        </w:rPr>
      </w:pPr>
      <w:r w:rsidRPr="00D7594D">
        <w:rPr>
          <w:lang w:val="fr-BE"/>
        </w:rPr>
        <w:t xml:space="preserve">En 2024, 95% des études notariales du Brabant Wallon ont utilisé Biddit. </w:t>
      </w:r>
    </w:p>
    <w:p w14:paraId="61CFAE91" w14:textId="2E96822D" w:rsidR="006E7150" w:rsidRDefault="00D7594D" w:rsidP="006E7150">
      <w:pPr>
        <w:pStyle w:val="HoofdtekstA"/>
        <w:rPr>
          <w:b/>
          <w:bCs/>
          <w:lang w:val="fr-BE"/>
        </w:rPr>
      </w:pPr>
      <w:r>
        <w:rPr>
          <w:b/>
          <w:bCs/>
          <w:lang w:val="fr-BE"/>
        </w:rPr>
        <w:t>Explications IQR</w:t>
      </w:r>
    </w:p>
    <w:p w14:paraId="4096BCE1" w14:textId="26CF12C1" w:rsidR="006E7150" w:rsidRDefault="006E7150" w:rsidP="006E7150">
      <w:pPr>
        <w:pStyle w:val="HoofdtekstA"/>
        <w:rPr>
          <w:b/>
          <w:bCs/>
          <w:lang w:val="fr-BE"/>
        </w:rPr>
      </w:pPr>
      <w:r w:rsidRPr="006E7150">
        <w:rPr>
          <w:b/>
          <w:bCs/>
          <w:noProof/>
          <w:lang w:val="fr-BE"/>
        </w:rPr>
        <w:drawing>
          <wp:inline distT="0" distB="0" distL="0" distR="0" wp14:anchorId="710F32F4" wp14:editId="58A376DC">
            <wp:extent cx="5731510" cy="2827020"/>
            <wp:effectExtent l="0" t="0" r="2540" b="0"/>
            <wp:docPr id="99360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01206" name=""/>
                    <pic:cNvPicPr/>
                  </pic:nvPicPr>
                  <pic:blipFill>
                    <a:blip r:embed="rId22"/>
                    <a:stretch>
                      <a:fillRect/>
                    </a:stretch>
                  </pic:blipFill>
                  <pic:spPr>
                    <a:xfrm>
                      <a:off x="0" y="0"/>
                      <a:ext cx="5731510" cy="2827020"/>
                    </a:xfrm>
                    <a:prstGeom prst="rect">
                      <a:avLst/>
                    </a:prstGeom>
                  </pic:spPr>
                </pic:pic>
              </a:graphicData>
            </a:graphic>
          </wp:inline>
        </w:drawing>
      </w:r>
    </w:p>
    <w:p w14:paraId="1A9AC2E0" w14:textId="42A8F9F4" w:rsidR="006E7150" w:rsidRDefault="006E7150" w:rsidP="006E7150">
      <w:pPr>
        <w:pStyle w:val="HoofdtekstA"/>
        <w:rPr>
          <w:b/>
          <w:bCs/>
          <w:lang w:val="fr-BE"/>
        </w:rPr>
      </w:pPr>
      <w:r w:rsidRPr="006E7150">
        <w:rPr>
          <w:b/>
          <w:bCs/>
          <w:noProof/>
          <w:lang w:val="fr-BE"/>
        </w:rPr>
        <w:lastRenderedPageBreak/>
        <w:drawing>
          <wp:inline distT="0" distB="0" distL="0" distR="0" wp14:anchorId="6789DCC8" wp14:editId="670FF5D4">
            <wp:extent cx="5731510" cy="2894965"/>
            <wp:effectExtent l="0" t="0" r="2540" b="635"/>
            <wp:docPr id="1467114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14105" name=""/>
                    <pic:cNvPicPr/>
                  </pic:nvPicPr>
                  <pic:blipFill>
                    <a:blip r:embed="rId23"/>
                    <a:stretch>
                      <a:fillRect/>
                    </a:stretch>
                  </pic:blipFill>
                  <pic:spPr>
                    <a:xfrm>
                      <a:off x="0" y="0"/>
                      <a:ext cx="5731510" cy="2894965"/>
                    </a:xfrm>
                    <a:prstGeom prst="rect">
                      <a:avLst/>
                    </a:prstGeom>
                  </pic:spPr>
                </pic:pic>
              </a:graphicData>
            </a:graphic>
          </wp:inline>
        </w:drawing>
      </w:r>
    </w:p>
    <w:p w14:paraId="04807994" w14:textId="77777777" w:rsidR="00D7594D" w:rsidRDefault="00D7594D" w:rsidP="00D7594D">
      <w:pPr>
        <w:pStyle w:val="HoofdtekstA"/>
        <w:rPr>
          <w:b/>
          <w:bCs/>
          <w:sz w:val="20"/>
          <w:szCs w:val="20"/>
          <w:lang w:val="fr-BE"/>
        </w:rPr>
      </w:pPr>
      <w:r>
        <w:rPr>
          <w:b/>
          <w:bCs/>
          <w:sz w:val="20"/>
          <w:szCs w:val="20"/>
          <w:lang w:val="fr-BE"/>
        </w:rPr>
        <w:t>Une meilleure vision du marché immobilier</w:t>
      </w:r>
      <w:r>
        <w:rPr>
          <w:b/>
          <w:bCs/>
          <w:sz w:val="20"/>
          <w:szCs w:val="20"/>
          <w:lang w:val="fr-BE"/>
        </w:rPr>
        <w:br/>
      </w:r>
      <w:r>
        <w:rPr>
          <w:sz w:val="20"/>
          <w:szCs w:val="20"/>
          <w:lang w:val="fr-BE"/>
        </w:rPr>
        <w:t>Les chiffres diffusés par Fednot via ce Baromètre de l’immobilier sont basés sur l’ensemble des transactions immobilières conclues dans notre pays au cours de l’année écoulée. Les données sont collectées par voie électronique au moment de la signature du contrat de vente et sont complétées par les données de l’acte. De ce fait, le réseau de 1.113 études notariales dispose des données les plus récentes et les plus complètes sur le marché immobilier belge.</w:t>
      </w:r>
    </w:p>
    <w:p w14:paraId="4FC4CE73" w14:textId="77777777" w:rsidR="00D7594D" w:rsidRDefault="00D7594D" w:rsidP="00D7594D">
      <w:pP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pPr>
    </w:p>
    <w:p w14:paraId="4C30E7A5" w14:textId="77777777" w:rsidR="00D7594D" w:rsidRDefault="00D7594D"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À propos du notariat en Belgique </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Chaque année, 3,5 millions de citoyens frappent à la porte des études notariales à des moments importants de leur vie. Ils bénéficient de conseils indépendants et sur-mesure pour vivre ensemble en toute confiance, acheter un logement, créer leur propre entreprise ou préparer un héritage. Pour avoir plus d’informations telles que des FAQ, des modules de calcul et des vidéos sur les moments clés de votre vie : https://www.notaire.be/</w:t>
      </w:r>
    </w:p>
    <w:p w14:paraId="0B3384EE" w14:textId="77777777" w:rsidR="00D7594D" w:rsidRDefault="00D7594D"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À propos de Fednot: </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Le réseau de 1.113 études notariales compte 1.754 notaires et 9.760 employés. Ensemble, ils traitent plus d’un million d’actes par an. Fednot soutient les citoyens et les entreprises en leur </w:t>
      </w:r>
    </w:p>
    <w:p w14:paraId="527F45B9" w14:textId="77777777" w:rsidR="00D7594D" w:rsidRPr="00A43DD0" w:rsidRDefault="00D7594D" w:rsidP="00D7594D">
      <w:pPr>
        <w:rPr>
          <w:rStyle w:val="Hyperlink"/>
          <w:lang w:val="fr-BE"/>
        </w:rPr>
      </w:pP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fournissant des conseils juridiques, de la gestion, des solutions IT, des formations et des informations pour le grand public. </w:t>
      </w:r>
      <w:hyperlink r:id="rId24" w:history="1">
        <w:r>
          <w:rPr>
            <w:rStyle w:val="Hyperlink"/>
            <w:rFonts w:asciiTheme="minorHAnsi" w:hAnsiTheme="minorHAnsi" w:cstheme="minorHAnsi"/>
            <w:color w:val="000000"/>
            <w:sz w:val="20"/>
            <w:szCs w:val="20"/>
            <w:lang w:val="fr-BE" w:eastAsia="nl-BE"/>
            <w14:textOutline w14:w="12700" w14:cap="flat" w14:cmpd="sng" w14:algn="ctr">
              <w14:noFill/>
              <w14:prstDash w14:val="solid"/>
              <w14:miter w14:lim="100000"/>
            </w14:textOutline>
          </w:rPr>
          <w:t>www.fednot.be</w:t>
        </w:r>
      </w:hyperlink>
    </w:p>
    <w:p w14:paraId="77A2AAF0" w14:textId="77777777" w:rsidR="00D7594D" w:rsidRPr="00A43DD0" w:rsidRDefault="00D7594D" w:rsidP="00D7594D">
      <w:pPr>
        <w:rPr>
          <w:lang w:val="fr-BE"/>
        </w:rPr>
      </w:pPr>
    </w:p>
    <w:p w14:paraId="3684A622" w14:textId="77777777" w:rsidR="00D7594D" w:rsidRDefault="00D7594D" w:rsidP="00D7594D">
      <w:pP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Point de contact presse</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Basile Vellut</w:t>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t>Communication externe Fednot</w:t>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t>0476/28.13.89</w:t>
      </w:r>
    </w:p>
    <w:p w14:paraId="19E64464" w14:textId="77777777" w:rsidR="00D7594D" w:rsidRDefault="00C5716A"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hyperlink r:id="rId25" w:history="1">
        <w:r w:rsidR="00D7594D">
          <w:rPr>
            <w:rStyle w:val="Hyperlink"/>
            <w:rFonts w:asciiTheme="minorHAnsi" w:hAnsiTheme="minorHAnsi" w:cstheme="minorHAnsi"/>
            <w:color w:val="000000"/>
            <w:sz w:val="20"/>
            <w:szCs w:val="20"/>
            <w:lang w:eastAsia="nl-BE"/>
            <w14:textOutline w14:w="12700" w14:cap="flat" w14:cmpd="sng" w14:algn="ctr">
              <w14:noFill/>
              <w14:prstDash w14:val="solid"/>
              <w14:miter w14:lim="100000"/>
            </w14:textOutline>
          </w:rPr>
          <w:t>basile.vellut@fednot.be</w:t>
        </w:r>
      </w:hyperlink>
      <w:r w:rsidR="00D7594D">
        <w:rPr>
          <w:rFonts w:asciiTheme="minorHAnsi" w:hAnsiTheme="minorHAnsi" w:cstheme="minorHAnsi"/>
          <w:color w:val="000000"/>
          <w:sz w:val="20"/>
          <w:szCs w:val="20"/>
          <w:lang w:eastAsia="nl-BE"/>
          <w14:textOutline w14:w="12700" w14:cap="flat" w14:cmpd="sng" w14:algn="ctr">
            <w14:noFill/>
            <w14:prstDash w14:val="solid"/>
            <w14:miter w14:lim="100000"/>
          </w14:textOutline>
        </w:rPr>
        <w:t xml:space="preserve"> </w:t>
      </w:r>
      <w:r w:rsidR="00D7594D">
        <w:rPr>
          <w:rFonts w:asciiTheme="minorHAnsi" w:hAnsiTheme="minorHAnsi" w:cstheme="minorHAnsi"/>
          <w:color w:val="000000"/>
          <w:sz w:val="20"/>
          <w:szCs w:val="20"/>
          <w:lang w:eastAsia="nl-BE"/>
          <w14:textOutline w14:w="12700" w14:cap="flat" w14:cmpd="sng" w14:algn="ctr">
            <w14:noFill/>
            <w14:prstDash w14:val="solid"/>
            <w14:miter w14:lim="100000"/>
          </w14:textOutline>
        </w:rPr>
        <w:br/>
      </w:r>
      <w:r w:rsidR="00D7594D">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r>
    </w:p>
    <w:p w14:paraId="31DA623B" w14:textId="77777777" w:rsidR="00D7594D" w:rsidRDefault="00D7594D" w:rsidP="00D7594D">
      <w:pPr>
        <w:rPr>
          <w:rFonts w:asciiTheme="minorHAnsi" w:hAnsiTheme="minorHAnsi" w:cstheme="minorHAnsi"/>
          <w:sz w:val="20"/>
          <w:szCs w:val="20"/>
        </w:rPr>
      </w:pPr>
    </w:p>
    <w:p w14:paraId="21F74A3A" w14:textId="77777777" w:rsidR="00D7594D" w:rsidRDefault="00D7594D" w:rsidP="00D7594D"/>
    <w:p w14:paraId="7CC044E8" w14:textId="77777777" w:rsidR="006E7150" w:rsidRPr="006E7150" w:rsidRDefault="006E7150" w:rsidP="006E7150">
      <w:pPr>
        <w:pStyle w:val="HoofdtekstA"/>
        <w:rPr>
          <w:lang w:val="fr-FR"/>
        </w:rPr>
      </w:pPr>
    </w:p>
    <w:p w14:paraId="1D4E2C38" w14:textId="77777777" w:rsidR="00C70C46" w:rsidRDefault="00C70C46" w:rsidP="00C70C46">
      <w:pPr>
        <w:pStyle w:val="HoofdtekstA"/>
        <w:rPr>
          <w:lang w:val="fr-BE"/>
        </w:rPr>
      </w:pPr>
    </w:p>
    <w:sectPr w:rsidR="00C70C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F1023"/>
    <w:multiLevelType w:val="hybridMultilevel"/>
    <w:tmpl w:val="9EE8CB7C"/>
    <w:lvl w:ilvl="0" w:tplc="D1289C0A">
      <w:start w:val="1"/>
      <w:numFmt w:val="bullet"/>
      <w:lvlText w:val="•"/>
      <w:lvlJc w:val="left"/>
      <w:pPr>
        <w:tabs>
          <w:tab w:val="num" w:pos="720"/>
        </w:tabs>
        <w:ind w:left="720" w:hanging="360"/>
      </w:pPr>
      <w:rPr>
        <w:rFonts w:ascii="Arial" w:hAnsi="Arial" w:hint="default"/>
      </w:rPr>
    </w:lvl>
    <w:lvl w:ilvl="1" w:tplc="BAEEF5DE" w:tentative="1">
      <w:start w:val="1"/>
      <w:numFmt w:val="bullet"/>
      <w:lvlText w:val="•"/>
      <w:lvlJc w:val="left"/>
      <w:pPr>
        <w:tabs>
          <w:tab w:val="num" w:pos="1440"/>
        </w:tabs>
        <w:ind w:left="1440" w:hanging="360"/>
      </w:pPr>
      <w:rPr>
        <w:rFonts w:ascii="Arial" w:hAnsi="Arial" w:hint="default"/>
      </w:rPr>
    </w:lvl>
    <w:lvl w:ilvl="2" w:tplc="F62483BE" w:tentative="1">
      <w:start w:val="1"/>
      <w:numFmt w:val="bullet"/>
      <w:lvlText w:val="•"/>
      <w:lvlJc w:val="left"/>
      <w:pPr>
        <w:tabs>
          <w:tab w:val="num" w:pos="2160"/>
        </w:tabs>
        <w:ind w:left="2160" w:hanging="360"/>
      </w:pPr>
      <w:rPr>
        <w:rFonts w:ascii="Arial" w:hAnsi="Arial" w:hint="default"/>
      </w:rPr>
    </w:lvl>
    <w:lvl w:ilvl="3" w:tplc="B3AEBB60" w:tentative="1">
      <w:start w:val="1"/>
      <w:numFmt w:val="bullet"/>
      <w:lvlText w:val="•"/>
      <w:lvlJc w:val="left"/>
      <w:pPr>
        <w:tabs>
          <w:tab w:val="num" w:pos="2880"/>
        </w:tabs>
        <w:ind w:left="2880" w:hanging="360"/>
      </w:pPr>
      <w:rPr>
        <w:rFonts w:ascii="Arial" w:hAnsi="Arial" w:hint="default"/>
      </w:rPr>
    </w:lvl>
    <w:lvl w:ilvl="4" w:tplc="00948912" w:tentative="1">
      <w:start w:val="1"/>
      <w:numFmt w:val="bullet"/>
      <w:lvlText w:val="•"/>
      <w:lvlJc w:val="left"/>
      <w:pPr>
        <w:tabs>
          <w:tab w:val="num" w:pos="3600"/>
        </w:tabs>
        <w:ind w:left="3600" w:hanging="360"/>
      </w:pPr>
      <w:rPr>
        <w:rFonts w:ascii="Arial" w:hAnsi="Arial" w:hint="default"/>
      </w:rPr>
    </w:lvl>
    <w:lvl w:ilvl="5" w:tplc="142651AA" w:tentative="1">
      <w:start w:val="1"/>
      <w:numFmt w:val="bullet"/>
      <w:lvlText w:val="•"/>
      <w:lvlJc w:val="left"/>
      <w:pPr>
        <w:tabs>
          <w:tab w:val="num" w:pos="4320"/>
        </w:tabs>
        <w:ind w:left="4320" w:hanging="360"/>
      </w:pPr>
      <w:rPr>
        <w:rFonts w:ascii="Arial" w:hAnsi="Arial" w:hint="default"/>
      </w:rPr>
    </w:lvl>
    <w:lvl w:ilvl="6" w:tplc="45E85E2A" w:tentative="1">
      <w:start w:val="1"/>
      <w:numFmt w:val="bullet"/>
      <w:lvlText w:val="•"/>
      <w:lvlJc w:val="left"/>
      <w:pPr>
        <w:tabs>
          <w:tab w:val="num" w:pos="5040"/>
        </w:tabs>
        <w:ind w:left="5040" w:hanging="360"/>
      </w:pPr>
      <w:rPr>
        <w:rFonts w:ascii="Arial" w:hAnsi="Arial" w:hint="default"/>
      </w:rPr>
    </w:lvl>
    <w:lvl w:ilvl="7" w:tplc="D7022594" w:tentative="1">
      <w:start w:val="1"/>
      <w:numFmt w:val="bullet"/>
      <w:lvlText w:val="•"/>
      <w:lvlJc w:val="left"/>
      <w:pPr>
        <w:tabs>
          <w:tab w:val="num" w:pos="5760"/>
        </w:tabs>
        <w:ind w:left="5760" w:hanging="360"/>
      </w:pPr>
      <w:rPr>
        <w:rFonts w:ascii="Arial" w:hAnsi="Arial" w:hint="default"/>
      </w:rPr>
    </w:lvl>
    <w:lvl w:ilvl="8" w:tplc="0B9EEB1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247AEF"/>
    <w:multiLevelType w:val="hybridMultilevel"/>
    <w:tmpl w:val="E4AC1C14"/>
    <w:lvl w:ilvl="0" w:tplc="B1BE5CF6">
      <w:start w:val="1"/>
      <w:numFmt w:val="bullet"/>
      <w:lvlText w:val="•"/>
      <w:lvlJc w:val="left"/>
      <w:pPr>
        <w:tabs>
          <w:tab w:val="num" w:pos="720"/>
        </w:tabs>
        <w:ind w:left="720" w:hanging="360"/>
      </w:pPr>
      <w:rPr>
        <w:rFonts w:ascii="Arial" w:hAnsi="Arial" w:hint="default"/>
      </w:rPr>
    </w:lvl>
    <w:lvl w:ilvl="1" w:tplc="B0EAB6BA" w:tentative="1">
      <w:start w:val="1"/>
      <w:numFmt w:val="bullet"/>
      <w:lvlText w:val="•"/>
      <w:lvlJc w:val="left"/>
      <w:pPr>
        <w:tabs>
          <w:tab w:val="num" w:pos="1440"/>
        </w:tabs>
        <w:ind w:left="1440" w:hanging="360"/>
      </w:pPr>
      <w:rPr>
        <w:rFonts w:ascii="Arial" w:hAnsi="Arial" w:hint="default"/>
      </w:rPr>
    </w:lvl>
    <w:lvl w:ilvl="2" w:tplc="7A126296" w:tentative="1">
      <w:start w:val="1"/>
      <w:numFmt w:val="bullet"/>
      <w:lvlText w:val="•"/>
      <w:lvlJc w:val="left"/>
      <w:pPr>
        <w:tabs>
          <w:tab w:val="num" w:pos="2160"/>
        </w:tabs>
        <w:ind w:left="2160" w:hanging="360"/>
      </w:pPr>
      <w:rPr>
        <w:rFonts w:ascii="Arial" w:hAnsi="Arial" w:hint="default"/>
      </w:rPr>
    </w:lvl>
    <w:lvl w:ilvl="3" w:tplc="7284BA92" w:tentative="1">
      <w:start w:val="1"/>
      <w:numFmt w:val="bullet"/>
      <w:lvlText w:val="•"/>
      <w:lvlJc w:val="left"/>
      <w:pPr>
        <w:tabs>
          <w:tab w:val="num" w:pos="2880"/>
        </w:tabs>
        <w:ind w:left="2880" w:hanging="360"/>
      </w:pPr>
      <w:rPr>
        <w:rFonts w:ascii="Arial" w:hAnsi="Arial" w:hint="default"/>
      </w:rPr>
    </w:lvl>
    <w:lvl w:ilvl="4" w:tplc="161ECBD6" w:tentative="1">
      <w:start w:val="1"/>
      <w:numFmt w:val="bullet"/>
      <w:lvlText w:val="•"/>
      <w:lvlJc w:val="left"/>
      <w:pPr>
        <w:tabs>
          <w:tab w:val="num" w:pos="3600"/>
        </w:tabs>
        <w:ind w:left="3600" w:hanging="360"/>
      </w:pPr>
      <w:rPr>
        <w:rFonts w:ascii="Arial" w:hAnsi="Arial" w:hint="default"/>
      </w:rPr>
    </w:lvl>
    <w:lvl w:ilvl="5" w:tplc="71E4C56E" w:tentative="1">
      <w:start w:val="1"/>
      <w:numFmt w:val="bullet"/>
      <w:lvlText w:val="•"/>
      <w:lvlJc w:val="left"/>
      <w:pPr>
        <w:tabs>
          <w:tab w:val="num" w:pos="4320"/>
        </w:tabs>
        <w:ind w:left="4320" w:hanging="360"/>
      </w:pPr>
      <w:rPr>
        <w:rFonts w:ascii="Arial" w:hAnsi="Arial" w:hint="default"/>
      </w:rPr>
    </w:lvl>
    <w:lvl w:ilvl="6" w:tplc="941EDA30" w:tentative="1">
      <w:start w:val="1"/>
      <w:numFmt w:val="bullet"/>
      <w:lvlText w:val="•"/>
      <w:lvlJc w:val="left"/>
      <w:pPr>
        <w:tabs>
          <w:tab w:val="num" w:pos="5040"/>
        </w:tabs>
        <w:ind w:left="5040" w:hanging="360"/>
      </w:pPr>
      <w:rPr>
        <w:rFonts w:ascii="Arial" w:hAnsi="Arial" w:hint="default"/>
      </w:rPr>
    </w:lvl>
    <w:lvl w:ilvl="7" w:tplc="E45880E6" w:tentative="1">
      <w:start w:val="1"/>
      <w:numFmt w:val="bullet"/>
      <w:lvlText w:val="•"/>
      <w:lvlJc w:val="left"/>
      <w:pPr>
        <w:tabs>
          <w:tab w:val="num" w:pos="5760"/>
        </w:tabs>
        <w:ind w:left="5760" w:hanging="360"/>
      </w:pPr>
      <w:rPr>
        <w:rFonts w:ascii="Arial" w:hAnsi="Arial" w:hint="default"/>
      </w:rPr>
    </w:lvl>
    <w:lvl w:ilvl="8" w:tplc="832A56F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0F28AB"/>
    <w:multiLevelType w:val="hybridMultilevel"/>
    <w:tmpl w:val="E802116C"/>
    <w:lvl w:ilvl="0" w:tplc="C0ECBB1A">
      <w:start w:val="1"/>
      <w:numFmt w:val="bullet"/>
      <w:lvlText w:val="•"/>
      <w:lvlJc w:val="left"/>
      <w:pPr>
        <w:tabs>
          <w:tab w:val="num" w:pos="720"/>
        </w:tabs>
        <w:ind w:left="720" w:hanging="360"/>
      </w:pPr>
      <w:rPr>
        <w:rFonts w:ascii="Arial" w:hAnsi="Arial" w:hint="default"/>
      </w:rPr>
    </w:lvl>
    <w:lvl w:ilvl="1" w:tplc="650CFFDA" w:tentative="1">
      <w:start w:val="1"/>
      <w:numFmt w:val="bullet"/>
      <w:lvlText w:val="•"/>
      <w:lvlJc w:val="left"/>
      <w:pPr>
        <w:tabs>
          <w:tab w:val="num" w:pos="1440"/>
        </w:tabs>
        <w:ind w:left="1440" w:hanging="360"/>
      </w:pPr>
      <w:rPr>
        <w:rFonts w:ascii="Arial" w:hAnsi="Arial" w:hint="default"/>
      </w:rPr>
    </w:lvl>
    <w:lvl w:ilvl="2" w:tplc="07D6E5C2" w:tentative="1">
      <w:start w:val="1"/>
      <w:numFmt w:val="bullet"/>
      <w:lvlText w:val="•"/>
      <w:lvlJc w:val="left"/>
      <w:pPr>
        <w:tabs>
          <w:tab w:val="num" w:pos="2160"/>
        </w:tabs>
        <w:ind w:left="2160" w:hanging="360"/>
      </w:pPr>
      <w:rPr>
        <w:rFonts w:ascii="Arial" w:hAnsi="Arial" w:hint="default"/>
      </w:rPr>
    </w:lvl>
    <w:lvl w:ilvl="3" w:tplc="CE4E0EB0" w:tentative="1">
      <w:start w:val="1"/>
      <w:numFmt w:val="bullet"/>
      <w:lvlText w:val="•"/>
      <w:lvlJc w:val="left"/>
      <w:pPr>
        <w:tabs>
          <w:tab w:val="num" w:pos="2880"/>
        </w:tabs>
        <w:ind w:left="2880" w:hanging="360"/>
      </w:pPr>
      <w:rPr>
        <w:rFonts w:ascii="Arial" w:hAnsi="Arial" w:hint="default"/>
      </w:rPr>
    </w:lvl>
    <w:lvl w:ilvl="4" w:tplc="F65E0366" w:tentative="1">
      <w:start w:val="1"/>
      <w:numFmt w:val="bullet"/>
      <w:lvlText w:val="•"/>
      <w:lvlJc w:val="left"/>
      <w:pPr>
        <w:tabs>
          <w:tab w:val="num" w:pos="3600"/>
        </w:tabs>
        <w:ind w:left="3600" w:hanging="360"/>
      </w:pPr>
      <w:rPr>
        <w:rFonts w:ascii="Arial" w:hAnsi="Arial" w:hint="default"/>
      </w:rPr>
    </w:lvl>
    <w:lvl w:ilvl="5" w:tplc="C52CD012" w:tentative="1">
      <w:start w:val="1"/>
      <w:numFmt w:val="bullet"/>
      <w:lvlText w:val="•"/>
      <w:lvlJc w:val="left"/>
      <w:pPr>
        <w:tabs>
          <w:tab w:val="num" w:pos="4320"/>
        </w:tabs>
        <w:ind w:left="4320" w:hanging="360"/>
      </w:pPr>
      <w:rPr>
        <w:rFonts w:ascii="Arial" w:hAnsi="Arial" w:hint="default"/>
      </w:rPr>
    </w:lvl>
    <w:lvl w:ilvl="6" w:tplc="014C294A" w:tentative="1">
      <w:start w:val="1"/>
      <w:numFmt w:val="bullet"/>
      <w:lvlText w:val="•"/>
      <w:lvlJc w:val="left"/>
      <w:pPr>
        <w:tabs>
          <w:tab w:val="num" w:pos="5040"/>
        </w:tabs>
        <w:ind w:left="5040" w:hanging="360"/>
      </w:pPr>
      <w:rPr>
        <w:rFonts w:ascii="Arial" w:hAnsi="Arial" w:hint="default"/>
      </w:rPr>
    </w:lvl>
    <w:lvl w:ilvl="7" w:tplc="5792F8FE" w:tentative="1">
      <w:start w:val="1"/>
      <w:numFmt w:val="bullet"/>
      <w:lvlText w:val="•"/>
      <w:lvlJc w:val="left"/>
      <w:pPr>
        <w:tabs>
          <w:tab w:val="num" w:pos="5760"/>
        </w:tabs>
        <w:ind w:left="5760" w:hanging="360"/>
      </w:pPr>
      <w:rPr>
        <w:rFonts w:ascii="Arial" w:hAnsi="Arial" w:hint="default"/>
      </w:rPr>
    </w:lvl>
    <w:lvl w:ilvl="8" w:tplc="B88C49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5D7418"/>
    <w:multiLevelType w:val="hybridMultilevel"/>
    <w:tmpl w:val="059A3290"/>
    <w:lvl w:ilvl="0" w:tplc="091CB8E2">
      <w:start w:val="1"/>
      <w:numFmt w:val="bullet"/>
      <w:lvlText w:val="•"/>
      <w:lvlJc w:val="left"/>
      <w:pPr>
        <w:tabs>
          <w:tab w:val="num" w:pos="720"/>
        </w:tabs>
        <w:ind w:left="720" w:hanging="360"/>
      </w:pPr>
      <w:rPr>
        <w:rFonts w:ascii="Arial" w:hAnsi="Arial" w:hint="default"/>
      </w:rPr>
    </w:lvl>
    <w:lvl w:ilvl="1" w:tplc="44CEE8D2" w:tentative="1">
      <w:start w:val="1"/>
      <w:numFmt w:val="bullet"/>
      <w:lvlText w:val="•"/>
      <w:lvlJc w:val="left"/>
      <w:pPr>
        <w:tabs>
          <w:tab w:val="num" w:pos="1440"/>
        </w:tabs>
        <w:ind w:left="1440" w:hanging="360"/>
      </w:pPr>
      <w:rPr>
        <w:rFonts w:ascii="Arial" w:hAnsi="Arial" w:hint="default"/>
      </w:rPr>
    </w:lvl>
    <w:lvl w:ilvl="2" w:tplc="4D4858DE" w:tentative="1">
      <w:start w:val="1"/>
      <w:numFmt w:val="bullet"/>
      <w:lvlText w:val="•"/>
      <w:lvlJc w:val="left"/>
      <w:pPr>
        <w:tabs>
          <w:tab w:val="num" w:pos="2160"/>
        </w:tabs>
        <w:ind w:left="2160" w:hanging="360"/>
      </w:pPr>
      <w:rPr>
        <w:rFonts w:ascii="Arial" w:hAnsi="Arial" w:hint="default"/>
      </w:rPr>
    </w:lvl>
    <w:lvl w:ilvl="3" w:tplc="94B0AFDA" w:tentative="1">
      <w:start w:val="1"/>
      <w:numFmt w:val="bullet"/>
      <w:lvlText w:val="•"/>
      <w:lvlJc w:val="left"/>
      <w:pPr>
        <w:tabs>
          <w:tab w:val="num" w:pos="2880"/>
        </w:tabs>
        <w:ind w:left="2880" w:hanging="360"/>
      </w:pPr>
      <w:rPr>
        <w:rFonts w:ascii="Arial" w:hAnsi="Arial" w:hint="default"/>
      </w:rPr>
    </w:lvl>
    <w:lvl w:ilvl="4" w:tplc="EDCAF7FE" w:tentative="1">
      <w:start w:val="1"/>
      <w:numFmt w:val="bullet"/>
      <w:lvlText w:val="•"/>
      <w:lvlJc w:val="left"/>
      <w:pPr>
        <w:tabs>
          <w:tab w:val="num" w:pos="3600"/>
        </w:tabs>
        <w:ind w:left="3600" w:hanging="360"/>
      </w:pPr>
      <w:rPr>
        <w:rFonts w:ascii="Arial" w:hAnsi="Arial" w:hint="default"/>
      </w:rPr>
    </w:lvl>
    <w:lvl w:ilvl="5" w:tplc="8B2A4DEE" w:tentative="1">
      <w:start w:val="1"/>
      <w:numFmt w:val="bullet"/>
      <w:lvlText w:val="•"/>
      <w:lvlJc w:val="left"/>
      <w:pPr>
        <w:tabs>
          <w:tab w:val="num" w:pos="4320"/>
        </w:tabs>
        <w:ind w:left="4320" w:hanging="360"/>
      </w:pPr>
      <w:rPr>
        <w:rFonts w:ascii="Arial" w:hAnsi="Arial" w:hint="default"/>
      </w:rPr>
    </w:lvl>
    <w:lvl w:ilvl="6" w:tplc="FF0C344E" w:tentative="1">
      <w:start w:val="1"/>
      <w:numFmt w:val="bullet"/>
      <w:lvlText w:val="•"/>
      <w:lvlJc w:val="left"/>
      <w:pPr>
        <w:tabs>
          <w:tab w:val="num" w:pos="5040"/>
        </w:tabs>
        <w:ind w:left="5040" w:hanging="360"/>
      </w:pPr>
      <w:rPr>
        <w:rFonts w:ascii="Arial" w:hAnsi="Arial" w:hint="default"/>
      </w:rPr>
    </w:lvl>
    <w:lvl w:ilvl="7" w:tplc="266A1BFA" w:tentative="1">
      <w:start w:val="1"/>
      <w:numFmt w:val="bullet"/>
      <w:lvlText w:val="•"/>
      <w:lvlJc w:val="left"/>
      <w:pPr>
        <w:tabs>
          <w:tab w:val="num" w:pos="5760"/>
        </w:tabs>
        <w:ind w:left="5760" w:hanging="360"/>
      </w:pPr>
      <w:rPr>
        <w:rFonts w:ascii="Arial" w:hAnsi="Arial" w:hint="default"/>
      </w:rPr>
    </w:lvl>
    <w:lvl w:ilvl="8" w:tplc="CA20AC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7482322"/>
    <w:multiLevelType w:val="hybridMultilevel"/>
    <w:tmpl w:val="11C03F72"/>
    <w:lvl w:ilvl="0" w:tplc="674A0540">
      <w:start w:val="1"/>
      <w:numFmt w:val="bullet"/>
      <w:lvlText w:val="•"/>
      <w:lvlJc w:val="left"/>
      <w:pPr>
        <w:tabs>
          <w:tab w:val="num" w:pos="720"/>
        </w:tabs>
        <w:ind w:left="720" w:hanging="360"/>
      </w:pPr>
      <w:rPr>
        <w:rFonts w:ascii="Arial" w:hAnsi="Arial" w:hint="default"/>
      </w:rPr>
    </w:lvl>
    <w:lvl w:ilvl="1" w:tplc="E696CFE6" w:tentative="1">
      <w:start w:val="1"/>
      <w:numFmt w:val="bullet"/>
      <w:lvlText w:val="•"/>
      <w:lvlJc w:val="left"/>
      <w:pPr>
        <w:tabs>
          <w:tab w:val="num" w:pos="1440"/>
        </w:tabs>
        <w:ind w:left="1440" w:hanging="360"/>
      </w:pPr>
      <w:rPr>
        <w:rFonts w:ascii="Arial" w:hAnsi="Arial" w:hint="default"/>
      </w:rPr>
    </w:lvl>
    <w:lvl w:ilvl="2" w:tplc="4D5089DE" w:tentative="1">
      <w:start w:val="1"/>
      <w:numFmt w:val="bullet"/>
      <w:lvlText w:val="•"/>
      <w:lvlJc w:val="left"/>
      <w:pPr>
        <w:tabs>
          <w:tab w:val="num" w:pos="2160"/>
        </w:tabs>
        <w:ind w:left="2160" w:hanging="360"/>
      </w:pPr>
      <w:rPr>
        <w:rFonts w:ascii="Arial" w:hAnsi="Arial" w:hint="default"/>
      </w:rPr>
    </w:lvl>
    <w:lvl w:ilvl="3" w:tplc="A83C9F98" w:tentative="1">
      <w:start w:val="1"/>
      <w:numFmt w:val="bullet"/>
      <w:lvlText w:val="•"/>
      <w:lvlJc w:val="left"/>
      <w:pPr>
        <w:tabs>
          <w:tab w:val="num" w:pos="2880"/>
        </w:tabs>
        <w:ind w:left="2880" w:hanging="360"/>
      </w:pPr>
      <w:rPr>
        <w:rFonts w:ascii="Arial" w:hAnsi="Arial" w:hint="default"/>
      </w:rPr>
    </w:lvl>
    <w:lvl w:ilvl="4" w:tplc="F2DA389A" w:tentative="1">
      <w:start w:val="1"/>
      <w:numFmt w:val="bullet"/>
      <w:lvlText w:val="•"/>
      <w:lvlJc w:val="left"/>
      <w:pPr>
        <w:tabs>
          <w:tab w:val="num" w:pos="3600"/>
        </w:tabs>
        <w:ind w:left="3600" w:hanging="360"/>
      </w:pPr>
      <w:rPr>
        <w:rFonts w:ascii="Arial" w:hAnsi="Arial" w:hint="default"/>
      </w:rPr>
    </w:lvl>
    <w:lvl w:ilvl="5" w:tplc="E8549B64" w:tentative="1">
      <w:start w:val="1"/>
      <w:numFmt w:val="bullet"/>
      <w:lvlText w:val="•"/>
      <w:lvlJc w:val="left"/>
      <w:pPr>
        <w:tabs>
          <w:tab w:val="num" w:pos="4320"/>
        </w:tabs>
        <w:ind w:left="4320" w:hanging="360"/>
      </w:pPr>
      <w:rPr>
        <w:rFonts w:ascii="Arial" w:hAnsi="Arial" w:hint="default"/>
      </w:rPr>
    </w:lvl>
    <w:lvl w:ilvl="6" w:tplc="F69431B6" w:tentative="1">
      <w:start w:val="1"/>
      <w:numFmt w:val="bullet"/>
      <w:lvlText w:val="•"/>
      <w:lvlJc w:val="left"/>
      <w:pPr>
        <w:tabs>
          <w:tab w:val="num" w:pos="5040"/>
        </w:tabs>
        <w:ind w:left="5040" w:hanging="360"/>
      </w:pPr>
      <w:rPr>
        <w:rFonts w:ascii="Arial" w:hAnsi="Arial" w:hint="default"/>
      </w:rPr>
    </w:lvl>
    <w:lvl w:ilvl="7" w:tplc="6002A616" w:tentative="1">
      <w:start w:val="1"/>
      <w:numFmt w:val="bullet"/>
      <w:lvlText w:val="•"/>
      <w:lvlJc w:val="left"/>
      <w:pPr>
        <w:tabs>
          <w:tab w:val="num" w:pos="5760"/>
        </w:tabs>
        <w:ind w:left="5760" w:hanging="360"/>
      </w:pPr>
      <w:rPr>
        <w:rFonts w:ascii="Arial" w:hAnsi="Arial" w:hint="default"/>
      </w:rPr>
    </w:lvl>
    <w:lvl w:ilvl="8" w:tplc="394ED71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0AE113E"/>
    <w:multiLevelType w:val="hybridMultilevel"/>
    <w:tmpl w:val="62364D74"/>
    <w:lvl w:ilvl="0" w:tplc="B35EA480">
      <w:start w:val="1"/>
      <w:numFmt w:val="bullet"/>
      <w:lvlText w:val="•"/>
      <w:lvlJc w:val="left"/>
      <w:pPr>
        <w:tabs>
          <w:tab w:val="num" w:pos="720"/>
        </w:tabs>
        <w:ind w:left="720" w:hanging="360"/>
      </w:pPr>
      <w:rPr>
        <w:rFonts w:ascii="Arial" w:hAnsi="Arial" w:hint="default"/>
      </w:rPr>
    </w:lvl>
    <w:lvl w:ilvl="1" w:tplc="3CB09070">
      <w:numFmt w:val="bullet"/>
      <w:lvlText w:val="•"/>
      <w:lvlJc w:val="left"/>
      <w:pPr>
        <w:tabs>
          <w:tab w:val="num" w:pos="1440"/>
        </w:tabs>
        <w:ind w:left="1440" w:hanging="360"/>
      </w:pPr>
      <w:rPr>
        <w:rFonts w:ascii="Arial" w:hAnsi="Arial" w:hint="default"/>
      </w:rPr>
    </w:lvl>
    <w:lvl w:ilvl="2" w:tplc="C36203F4" w:tentative="1">
      <w:start w:val="1"/>
      <w:numFmt w:val="bullet"/>
      <w:lvlText w:val="•"/>
      <w:lvlJc w:val="left"/>
      <w:pPr>
        <w:tabs>
          <w:tab w:val="num" w:pos="2160"/>
        </w:tabs>
        <w:ind w:left="2160" w:hanging="360"/>
      </w:pPr>
      <w:rPr>
        <w:rFonts w:ascii="Arial" w:hAnsi="Arial" w:hint="default"/>
      </w:rPr>
    </w:lvl>
    <w:lvl w:ilvl="3" w:tplc="2AEA967E" w:tentative="1">
      <w:start w:val="1"/>
      <w:numFmt w:val="bullet"/>
      <w:lvlText w:val="•"/>
      <w:lvlJc w:val="left"/>
      <w:pPr>
        <w:tabs>
          <w:tab w:val="num" w:pos="2880"/>
        </w:tabs>
        <w:ind w:left="2880" w:hanging="360"/>
      </w:pPr>
      <w:rPr>
        <w:rFonts w:ascii="Arial" w:hAnsi="Arial" w:hint="default"/>
      </w:rPr>
    </w:lvl>
    <w:lvl w:ilvl="4" w:tplc="0394B2DC" w:tentative="1">
      <w:start w:val="1"/>
      <w:numFmt w:val="bullet"/>
      <w:lvlText w:val="•"/>
      <w:lvlJc w:val="left"/>
      <w:pPr>
        <w:tabs>
          <w:tab w:val="num" w:pos="3600"/>
        </w:tabs>
        <w:ind w:left="3600" w:hanging="360"/>
      </w:pPr>
      <w:rPr>
        <w:rFonts w:ascii="Arial" w:hAnsi="Arial" w:hint="default"/>
      </w:rPr>
    </w:lvl>
    <w:lvl w:ilvl="5" w:tplc="158C203E" w:tentative="1">
      <w:start w:val="1"/>
      <w:numFmt w:val="bullet"/>
      <w:lvlText w:val="•"/>
      <w:lvlJc w:val="left"/>
      <w:pPr>
        <w:tabs>
          <w:tab w:val="num" w:pos="4320"/>
        </w:tabs>
        <w:ind w:left="4320" w:hanging="360"/>
      </w:pPr>
      <w:rPr>
        <w:rFonts w:ascii="Arial" w:hAnsi="Arial" w:hint="default"/>
      </w:rPr>
    </w:lvl>
    <w:lvl w:ilvl="6" w:tplc="3BC0B03E" w:tentative="1">
      <w:start w:val="1"/>
      <w:numFmt w:val="bullet"/>
      <w:lvlText w:val="•"/>
      <w:lvlJc w:val="left"/>
      <w:pPr>
        <w:tabs>
          <w:tab w:val="num" w:pos="5040"/>
        </w:tabs>
        <w:ind w:left="5040" w:hanging="360"/>
      </w:pPr>
      <w:rPr>
        <w:rFonts w:ascii="Arial" w:hAnsi="Arial" w:hint="default"/>
      </w:rPr>
    </w:lvl>
    <w:lvl w:ilvl="7" w:tplc="B55E525E" w:tentative="1">
      <w:start w:val="1"/>
      <w:numFmt w:val="bullet"/>
      <w:lvlText w:val="•"/>
      <w:lvlJc w:val="left"/>
      <w:pPr>
        <w:tabs>
          <w:tab w:val="num" w:pos="5760"/>
        </w:tabs>
        <w:ind w:left="5760" w:hanging="360"/>
      </w:pPr>
      <w:rPr>
        <w:rFonts w:ascii="Arial" w:hAnsi="Arial" w:hint="default"/>
      </w:rPr>
    </w:lvl>
    <w:lvl w:ilvl="8" w:tplc="7812EC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3936FAE"/>
    <w:multiLevelType w:val="hybridMultilevel"/>
    <w:tmpl w:val="4E265690"/>
    <w:lvl w:ilvl="0" w:tplc="58E4AA56">
      <w:start w:val="1"/>
      <w:numFmt w:val="bullet"/>
      <w:lvlText w:val="•"/>
      <w:lvlJc w:val="left"/>
      <w:pPr>
        <w:tabs>
          <w:tab w:val="num" w:pos="720"/>
        </w:tabs>
        <w:ind w:left="720" w:hanging="360"/>
      </w:pPr>
      <w:rPr>
        <w:rFonts w:ascii="Arial" w:hAnsi="Arial" w:hint="default"/>
      </w:rPr>
    </w:lvl>
    <w:lvl w:ilvl="1" w:tplc="48F41716" w:tentative="1">
      <w:start w:val="1"/>
      <w:numFmt w:val="bullet"/>
      <w:lvlText w:val="•"/>
      <w:lvlJc w:val="left"/>
      <w:pPr>
        <w:tabs>
          <w:tab w:val="num" w:pos="1440"/>
        </w:tabs>
        <w:ind w:left="1440" w:hanging="360"/>
      </w:pPr>
      <w:rPr>
        <w:rFonts w:ascii="Arial" w:hAnsi="Arial" w:hint="default"/>
      </w:rPr>
    </w:lvl>
    <w:lvl w:ilvl="2" w:tplc="1F86E086" w:tentative="1">
      <w:start w:val="1"/>
      <w:numFmt w:val="bullet"/>
      <w:lvlText w:val="•"/>
      <w:lvlJc w:val="left"/>
      <w:pPr>
        <w:tabs>
          <w:tab w:val="num" w:pos="2160"/>
        </w:tabs>
        <w:ind w:left="2160" w:hanging="360"/>
      </w:pPr>
      <w:rPr>
        <w:rFonts w:ascii="Arial" w:hAnsi="Arial" w:hint="default"/>
      </w:rPr>
    </w:lvl>
    <w:lvl w:ilvl="3" w:tplc="09C883D2" w:tentative="1">
      <w:start w:val="1"/>
      <w:numFmt w:val="bullet"/>
      <w:lvlText w:val="•"/>
      <w:lvlJc w:val="left"/>
      <w:pPr>
        <w:tabs>
          <w:tab w:val="num" w:pos="2880"/>
        </w:tabs>
        <w:ind w:left="2880" w:hanging="360"/>
      </w:pPr>
      <w:rPr>
        <w:rFonts w:ascii="Arial" w:hAnsi="Arial" w:hint="default"/>
      </w:rPr>
    </w:lvl>
    <w:lvl w:ilvl="4" w:tplc="6D8CF528" w:tentative="1">
      <w:start w:val="1"/>
      <w:numFmt w:val="bullet"/>
      <w:lvlText w:val="•"/>
      <w:lvlJc w:val="left"/>
      <w:pPr>
        <w:tabs>
          <w:tab w:val="num" w:pos="3600"/>
        </w:tabs>
        <w:ind w:left="3600" w:hanging="360"/>
      </w:pPr>
      <w:rPr>
        <w:rFonts w:ascii="Arial" w:hAnsi="Arial" w:hint="default"/>
      </w:rPr>
    </w:lvl>
    <w:lvl w:ilvl="5" w:tplc="8DDEF4F0" w:tentative="1">
      <w:start w:val="1"/>
      <w:numFmt w:val="bullet"/>
      <w:lvlText w:val="•"/>
      <w:lvlJc w:val="left"/>
      <w:pPr>
        <w:tabs>
          <w:tab w:val="num" w:pos="4320"/>
        </w:tabs>
        <w:ind w:left="4320" w:hanging="360"/>
      </w:pPr>
      <w:rPr>
        <w:rFonts w:ascii="Arial" w:hAnsi="Arial" w:hint="default"/>
      </w:rPr>
    </w:lvl>
    <w:lvl w:ilvl="6" w:tplc="4E5A5CC4" w:tentative="1">
      <w:start w:val="1"/>
      <w:numFmt w:val="bullet"/>
      <w:lvlText w:val="•"/>
      <w:lvlJc w:val="left"/>
      <w:pPr>
        <w:tabs>
          <w:tab w:val="num" w:pos="5040"/>
        </w:tabs>
        <w:ind w:left="5040" w:hanging="360"/>
      </w:pPr>
      <w:rPr>
        <w:rFonts w:ascii="Arial" w:hAnsi="Arial" w:hint="default"/>
      </w:rPr>
    </w:lvl>
    <w:lvl w:ilvl="7" w:tplc="3098BDF8" w:tentative="1">
      <w:start w:val="1"/>
      <w:numFmt w:val="bullet"/>
      <w:lvlText w:val="•"/>
      <w:lvlJc w:val="left"/>
      <w:pPr>
        <w:tabs>
          <w:tab w:val="num" w:pos="5760"/>
        </w:tabs>
        <w:ind w:left="5760" w:hanging="360"/>
      </w:pPr>
      <w:rPr>
        <w:rFonts w:ascii="Arial" w:hAnsi="Arial" w:hint="default"/>
      </w:rPr>
    </w:lvl>
    <w:lvl w:ilvl="8" w:tplc="7A44FB8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4282AB7"/>
    <w:multiLevelType w:val="hybridMultilevel"/>
    <w:tmpl w:val="E4D204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7265647">
    <w:abstractNumId w:val="2"/>
  </w:num>
  <w:num w:numId="2" w16cid:durableId="1764259306">
    <w:abstractNumId w:val="0"/>
  </w:num>
  <w:num w:numId="3" w16cid:durableId="1126048882">
    <w:abstractNumId w:val="5"/>
  </w:num>
  <w:num w:numId="4" w16cid:durableId="1365861309">
    <w:abstractNumId w:val="3"/>
  </w:num>
  <w:num w:numId="5" w16cid:durableId="800658813">
    <w:abstractNumId w:val="6"/>
  </w:num>
  <w:num w:numId="6" w16cid:durableId="1124736497">
    <w:abstractNumId w:val="1"/>
  </w:num>
  <w:num w:numId="7" w16cid:durableId="701397108">
    <w:abstractNumId w:val="4"/>
  </w:num>
  <w:num w:numId="8" w16cid:durableId="7402973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C46"/>
    <w:rsid w:val="00035635"/>
    <w:rsid w:val="00341610"/>
    <w:rsid w:val="00356EF4"/>
    <w:rsid w:val="004C4E8A"/>
    <w:rsid w:val="005A7979"/>
    <w:rsid w:val="006E7150"/>
    <w:rsid w:val="00775106"/>
    <w:rsid w:val="007A6FD5"/>
    <w:rsid w:val="0088386A"/>
    <w:rsid w:val="00A667F0"/>
    <w:rsid w:val="00AD50F9"/>
    <w:rsid w:val="00AD7C5D"/>
    <w:rsid w:val="00B771FF"/>
    <w:rsid w:val="00C5716A"/>
    <w:rsid w:val="00C70C46"/>
    <w:rsid w:val="00D7594D"/>
    <w:rsid w:val="00DA5910"/>
    <w:rsid w:val="00E0180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8DF93"/>
  <w15:chartTrackingRefBased/>
  <w15:docId w15:val="{35DA794A-33DD-4E21-A6A6-ACFD7812B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4D"/>
    <w:pPr>
      <w:spacing w:after="0" w:line="240" w:lineRule="auto"/>
    </w:pPr>
    <w:rPr>
      <w:rFonts w:ascii="Times New Roman" w:eastAsia="Arial Unicode MS"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C70C46"/>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nl-BE"/>
      <w14:ligatures w14:val="standardContextual"/>
    </w:rPr>
  </w:style>
  <w:style w:type="paragraph" w:styleId="Heading2">
    <w:name w:val="heading 2"/>
    <w:basedOn w:val="Normal"/>
    <w:next w:val="Normal"/>
    <w:link w:val="Heading2Char"/>
    <w:uiPriority w:val="9"/>
    <w:semiHidden/>
    <w:unhideWhenUsed/>
    <w:qFormat/>
    <w:rsid w:val="00C70C46"/>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nl-BE"/>
      <w14:ligatures w14:val="standardContextual"/>
    </w:rPr>
  </w:style>
  <w:style w:type="paragraph" w:styleId="Heading3">
    <w:name w:val="heading 3"/>
    <w:basedOn w:val="Normal"/>
    <w:next w:val="Normal"/>
    <w:link w:val="Heading3Char"/>
    <w:uiPriority w:val="9"/>
    <w:semiHidden/>
    <w:unhideWhenUsed/>
    <w:qFormat/>
    <w:rsid w:val="00C70C46"/>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nl-BE"/>
      <w14:ligatures w14:val="standardContextual"/>
    </w:rPr>
  </w:style>
  <w:style w:type="paragraph" w:styleId="Heading4">
    <w:name w:val="heading 4"/>
    <w:basedOn w:val="Normal"/>
    <w:next w:val="Normal"/>
    <w:link w:val="Heading4Char"/>
    <w:uiPriority w:val="9"/>
    <w:semiHidden/>
    <w:unhideWhenUsed/>
    <w:qFormat/>
    <w:rsid w:val="00C70C46"/>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nl-BE"/>
      <w14:ligatures w14:val="standardContextual"/>
    </w:rPr>
  </w:style>
  <w:style w:type="paragraph" w:styleId="Heading5">
    <w:name w:val="heading 5"/>
    <w:basedOn w:val="Normal"/>
    <w:next w:val="Normal"/>
    <w:link w:val="Heading5Char"/>
    <w:uiPriority w:val="9"/>
    <w:semiHidden/>
    <w:unhideWhenUsed/>
    <w:qFormat/>
    <w:rsid w:val="00C70C46"/>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nl-BE"/>
      <w14:ligatures w14:val="standardContextual"/>
    </w:rPr>
  </w:style>
  <w:style w:type="paragraph" w:styleId="Heading6">
    <w:name w:val="heading 6"/>
    <w:basedOn w:val="Normal"/>
    <w:next w:val="Normal"/>
    <w:link w:val="Heading6Char"/>
    <w:uiPriority w:val="9"/>
    <w:semiHidden/>
    <w:unhideWhenUsed/>
    <w:qFormat/>
    <w:rsid w:val="00C70C4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nl-BE"/>
      <w14:ligatures w14:val="standardContextual"/>
    </w:rPr>
  </w:style>
  <w:style w:type="paragraph" w:styleId="Heading7">
    <w:name w:val="heading 7"/>
    <w:basedOn w:val="Normal"/>
    <w:next w:val="Normal"/>
    <w:link w:val="Heading7Char"/>
    <w:uiPriority w:val="9"/>
    <w:semiHidden/>
    <w:unhideWhenUsed/>
    <w:qFormat/>
    <w:rsid w:val="00C70C4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nl-BE"/>
      <w14:ligatures w14:val="standardContextual"/>
    </w:rPr>
  </w:style>
  <w:style w:type="paragraph" w:styleId="Heading8">
    <w:name w:val="heading 8"/>
    <w:basedOn w:val="Normal"/>
    <w:next w:val="Normal"/>
    <w:link w:val="Heading8Char"/>
    <w:uiPriority w:val="9"/>
    <w:semiHidden/>
    <w:unhideWhenUsed/>
    <w:qFormat/>
    <w:rsid w:val="00C70C4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nl-BE"/>
      <w14:ligatures w14:val="standardContextual"/>
    </w:rPr>
  </w:style>
  <w:style w:type="paragraph" w:styleId="Heading9">
    <w:name w:val="heading 9"/>
    <w:basedOn w:val="Normal"/>
    <w:next w:val="Normal"/>
    <w:link w:val="Heading9Char"/>
    <w:uiPriority w:val="9"/>
    <w:semiHidden/>
    <w:unhideWhenUsed/>
    <w:qFormat/>
    <w:rsid w:val="00C70C46"/>
    <w:pPr>
      <w:keepNext/>
      <w:keepLines/>
      <w:spacing w:line="259" w:lineRule="auto"/>
      <w:outlineLvl w:val="8"/>
    </w:pPr>
    <w:rPr>
      <w:rFonts w:asciiTheme="minorHAnsi" w:eastAsiaTheme="majorEastAsia" w:hAnsiTheme="minorHAnsi" w:cstheme="majorBidi"/>
      <w:color w:val="272727" w:themeColor="text1" w:themeTint="D8"/>
      <w:kern w:val="2"/>
      <w:sz w:val="22"/>
      <w:szCs w:val="22"/>
      <w:lang w:val="nl-BE"/>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C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0C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0C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0C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0C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0C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0C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0C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0C46"/>
    <w:rPr>
      <w:rFonts w:eastAsiaTheme="majorEastAsia" w:cstheme="majorBidi"/>
      <w:color w:val="272727" w:themeColor="text1" w:themeTint="D8"/>
    </w:rPr>
  </w:style>
  <w:style w:type="paragraph" w:styleId="Title">
    <w:name w:val="Title"/>
    <w:basedOn w:val="Normal"/>
    <w:next w:val="Normal"/>
    <w:link w:val="TitleChar"/>
    <w:uiPriority w:val="10"/>
    <w:qFormat/>
    <w:rsid w:val="00C70C46"/>
    <w:pPr>
      <w:spacing w:after="80"/>
      <w:contextualSpacing/>
    </w:pPr>
    <w:rPr>
      <w:rFonts w:asciiTheme="majorHAnsi" w:eastAsiaTheme="majorEastAsia" w:hAnsiTheme="majorHAnsi" w:cstheme="majorBidi"/>
      <w:spacing w:val="-10"/>
      <w:kern w:val="28"/>
      <w:sz w:val="56"/>
      <w:szCs w:val="56"/>
      <w:lang w:val="nl-BE"/>
      <w14:ligatures w14:val="standardContextual"/>
    </w:rPr>
  </w:style>
  <w:style w:type="character" w:customStyle="1" w:styleId="TitleChar">
    <w:name w:val="Title Char"/>
    <w:basedOn w:val="DefaultParagraphFont"/>
    <w:link w:val="Title"/>
    <w:uiPriority w:val="10"/>
    <w:rsid w:val="00C70C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C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BE"/>
      <w14:ligatures w14:val="standardContextual"/>
    </w:rPr>
  </w:style>
  <w:style w:type="character" w:customStyle="1" w:styleId="SubtitleChar">
    <w:name w:val="Subtitle Char"/>
    <w:basedOn w:val="DefaultParagraphFont"/>
    <w:link w:val="Subtitle"/>
    <w:uiPriority w:val="11"/>
    <w:rsid w:val="00C70C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0C46"/>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nl-BE"/>
      <w14:ligatures w14:val="standardContextual"/>
    </w:rPr>
  </w:style>
  <w:style w:type="character" w:customStyle="1" w:styleId="QuoteChar">
    <w:name w:val="Quote Char"/>
    <w:basedOn w:val="DefaultParagraphFont"/>
    <w:link w:val="Quote"/>
    <w:uiPriority w:val="29"/>
    <w:rsid w:val="00C70C46"/>
    <w:rPr>
      <w:i/>
      <w:iCs/>
      <w:color w:val="404040" w:themeColor="text1" w:themeTint="BF"/>
    </w:rPr>
  </w:style>
  <w:style w:type="paragraph" w:styleId="ListParagraph">
    <w:name w:val="List Paragraph"/>
    <w:basedOn w:val="Normal"/>
    <w:uiPriority w:val="34"/>
    <w:qFormat/>
    <w:rsid w:val="00C70C46"/>
    <w:pPr>
      <w:spacing w:after="160" w:line="259" w:lineRule="auto"/>
      <w:ind w:left="720"/>
      <w:contextualSpacing/>
    </w:pPr>
    <w:rPr>
      <w:rFonts w:asciiTheme="minorHAnsi" w:eastAsiaTheme="minorHAnsi" w:hAnsiTheme="minorHAnsi" w:cstheme="minorBidi"/>
      <w:kern w:val="2"/>
      <w:sz w:val="22"/>
      <w:szCs w:val="22"/>
      <w:lang w:val="nl-BE"/>
      <w14:ligatures w14:val="standardContextual"/>
    </w:rPr>
  </w:style>
  <w:style w:type="character" w:styleId="IntenseEmphasis">
    <w:name w:val="Intense Emphasis"/>
    <w:basedOn w:val="DefaultParagraphFont"/>
    <w:uiPriority w:val="21"/>
    <w:qFormat/>
    <w:rsid w:val="00C70C46"/>
    <w:rPr>
      <w:i/>
      <w:iCs/>
      <w:color w:val="0F4761" w:themeColor="accent1" w:themeShade="BF"/>
    </w:rPr>
  </w:style>
  <w:style w:type="paragraph" w:styleId="IntenseQuote">
    <w:name w:val="Intense Quote"/>
    <w:basedOn w:val="Normal"/>
    <w:next w:val="Normal"/>
    <w:link w:val="IntenseQuoteChar"/>
    <w:uiPriority w:val="30"/>
    <w:qFormat/>
    <w:rsid w:val="00C70C46"/>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nl-BE"/>
      <w14:ligatures w14:val="standardContextual"/>
    </w:rPr>
  </w:style>
  <w:style w:type="character" w:customStyle="1" w:styleId="IntenseQuoteChar">
    <w:name w:val="Intense Quote Char"/>
    <w:basedOn w:val="DefaultParagraphFont"/>
    <w:link w:val="IntenseQuote"/>
    <w:uiPriority w:val="30"/>
    <w:rsid w:val="00C70C46"/>
    <w:rPr>
      <w:i/>
      <w:iCs/>
      <w:color w:val="0F4761" w:themeColor="accent1" w:themeShade="BF"/>
    </w:rPr>
  </w:style>
  <w:style w:type="character" w:styleId="IntenseReference">
    <w:name w:val="Intense Reference"/>
    <w:basedOn w:val="DefaultParagraphFont"/>
    <w:uiPriority w:val="32"/>
    <w:qFormat/>
    <w:rsid w:val="00C70C46"/>
    <w:rPr>
      <w:b/>
      <w:bCs/>
      <w:smallCaps/>
      <w:color w:val="0F4761" w:themeColor="accent1" w:themeShade="BF"/>
      <w:spacing w:val="5"/>
    </w:rPr>
  </w:style>
  <w:style w:type="paragraph" w:customStyle="1" w:styleId="HoofdtekstA">
    <w:name w:val="Hoofdtekst A"/>
    <w:rsid w:val="00C70C46"/>
    <w:pPr>
      <w:spacing w:line="252" w:lineRule="auto"/>
    </w:pPr>
    <w:rPr>
      <w:rFonts w:ascii="Calibri" w:eastAsia="Arial Unicode MS" w:hAnsi="Calibri" w:cs="Arial Unicode MS"/>
      <w:color w:val="000000"/>
      <w:kern w:val="0"/>
      <w:u w:color="000000"/>
      <w:lang w:val="nl-NL" w:eastAsia="nl-BE"/>
      <w14:textOutline w14:w="12700" w14:cap="flat" w14:cmpd="sng" w14:algn="ctr">
        <w14:noFill/>
        <w14:prstDash w14:val="solid"/>
        <w14:miter w14:lim="100000"/>
      </w14:textOutline>
      <w14:ligatures w14:val="none"/>
    </w:rPr>
  </w:style>
  <w:style w:type="paragraph" w:styleId="NormalWeb">
    <w:name w:val="Normal (Web)"/>
    <w:basedOn w:val="Normal"/>
    <w:uiPriority w:val="99"/>
    <w:semiHidden/>
    <w:unhideWhenUsed/>
    <w:rsid w:val="00D7594D"/>
    <w:pPr>
      <w:spacing w:before="100" w:beforeAutospacing="1" w:after="100" w:afterAutospacing="1"/>
    </w:pPr>
    <w:rPr>
      <w:rFonts w:eastAsia="Times New Roman"/>
      <w:lang w:eastAsia="nl-BE"/>
    </w:rPr>
  </w:style>
  <w:style w:type="character" w:styleId="Hyperlink">
    <w:name w:val="Hyperlink"/>
    <w:semiHidden/>
    <w:unhideWhenUsed/>
    <w:rsid w:val="00D7594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08477">
      <w:bodyDiv w:val="1"/>
      <w:marLeft w:val="0"/>
      <w:marRight w:val="0"/>
      <w:marTop w:val="0"/>
      <w:marBottom w:val="0"/>
      <w:divBdr>
        <w:top w:val="none" w:sz="0" w:space="0" w:color="auto"/>
        <w:left w:val="none" w:sz="0" w:space="0" w:color="auto"/>
        <w:bottom w:val="none" w:sz="0" w:space="0" w:color="auto"/>
        <w:right w:val="none" w:sz="0" w:space="0" w:color="auto"/>
      </w:divBdr>
      <w:divsChild>
        <w:div w:id="1415274287">
          <w:marLeft w:val="274"/>
          <w:marRight w:val="0"/>
          <w:marTop w:val="0"/>
          <w:marBottom w:val="0"/>
          <w:divBdr>
            <w:top w:val="none" w:sz="0" w:space="0" w:color="auto"/>
            <w:left w:val="none" w:sz="0" w:space="0" w:color="auto"/>
            <w:bottom w:val="none" w:sz="0" w:space="0" w:color="auto"/>
            <w:right w:val="none" w:sz="0" w:space="0" w:color="auto"/>
          </w:divBdr>
        </w:div>
        <w:div w:id="1270627641">
          <w:marLeft w:val="274"/>
          <w:marRight w:val="0"/>
          <w:marTop w:val="0"/>
          <w:marBottom w:val="0"/>
          <w:divBdr>
            <w:top w:val="none" w:sz="0" w:space="0" w:color="auto"/>
            <w:left w:val="none" w:sz="0" w:space="0" w:color="auto"/>
            <w:bottom w:val="none" w:sz="0" w:space="0" w:color="auto"/>
            <w:right w:val="none" w:sz="0" w:space="0" w:color="auto"/>
          </w:divBdr>
        </w:div>
        <w:div w:id="1340111134">
          <w:marLeft w:val="994"/>
          <w:marRight w:val="0"/>
          <w:marTop w:val="0"/>
          <w:marBottom w:val="0"/>
          <w:divBdr>
            <w:top w:val="none" w:sz="0" w:space="0" w:color="auto"/>
            <w:left w:val="none" w:sz="0" w:space="0" w:color="auto"/>
            <w:bottom w:val="none" w:sz="0" w:space="0" w:color="auto"/>
            <w:right w:val="none" w:sz="0" w:space="0" w:color="auto"/>
          </w:divBdr>
        </w:div>
        <w:div w:id="1247038366">
          <w:marLeft w:val="994"/>
          <w:marRight w:val="0"/>
          <w:marTop w:val="0"/>
          <w:marBottom w:val="0"/>
          <w:divBdr>
            <w:top w:val="none" w:sz="0" w:space="0" w:color="auto"/>
            <w:left w:val="none" w:sz="0" w:space="0" w:color="auto"/>
            <w:bottom w:val="none" w:sz="0" w:space="0" w:color="auto"/>
            <w:right w:val="none" w:sz="0" w:space="0" w:color="auto"/>
          </w:divBdr>
        </w:div>
        <w:div w:id="1574849415">
          <w:marLeft w:val="994"/>
          <w:marRight w:val="0"/>
          <w:marTop w:val="0"/>
          <w:marBottom w:val="0"/>
          <w:divBdr>
            <w:top w:val="none" w:sz="0" w:space="0" w:color="auto"/>
            <w:left w:val="none" w:sz="0" w:space="0" w:color="auto"/>
            <w:bottom w:val="none" w:sz="0" w:space="0" w:color="auto"/>
            <w:right w:val="none" w:sz="0" w:space="0" w:color="auto"/>
          </w:divBdr>
        </w:div>
        <w:div w:id="2009286044">
          <w:marLeft w:val="274"/>
          <w:marRight w:val="0"/>
          <w:marTop w:val="0"/>
          <w:marBottom w:val="0"/>
          <w:divBdr>
            <w:top w:val="none" w:sz="0" w:space="0" w:color="auto"/>
            <w:left w:val="none" w:sz="0" w:space="0" w:color="auto"/>
            <w:bottom w:val="none" w:sz="0" w:space="0" w:color="auto"/>
            <w:right w:val="none" w:sz="0" w:space="0" w:color="auto"/>
          </w:divBdr>
        </w:div>
        <w:div w:id="1056974201">
          <w:marLeft w:val="994"/>
          <w:marRight w:val="0"/>
          <w:marTop w:val="0"/>
          <w:marBottom w:val="0"/>
          <w:divBdr>
            <w:top w:val="none" w:sz="0" w:space="0" w:color="auto"/>
            <w:left w:val="none" w:sz="0" w:space="0" w:color="auto"/>
            <w:bottom w:val="none" w:sz="0" w:space="0" w:color="auto"/>
            <w:right w:val="none" w:sz="0" w:space="0" w:color="auto"/>
          </w:divBdr>
        </w:div>
        <w:div w:id="1316030328">
          <w:marLeft w:val="994"/>
          <w:marRight w:val="0"/>
          <w:marTop w:val="0"/>
          <w:marBottom w:val="0"/>
          <w:divBdr>
            <w:top w:val="none" w:sz="0" w:space="0" w:color="auto"/>
            <w:left w:val="none" w:sz="0" w:space="0" w:color="auto"/>
            <w:bottom w:val="none" w:sz="0" w:space="0" w:color="auto"/>
            <w:right w:val="none" w:sz="0" w:space="0" w:color="auto"/>
          </w:divBdr>
        </w:div>
        <w:div w:id="986134068">
          <w:marLeft w:val="994"/>
          <w:marRight w:val="0"/>
          <w:marTop w:val="0"/>
          <w:marBottom w:val="0"/>
          <w:divBdr>
            <w:top w:val="none" w:sz="0" w:space="0" w:color="auto"/>
            <w:left w:val="none" w:sz="0" w:space="0" w:color="auto"/>
            <w:bottom w:val="none" w:sz="0" w:space="0" w:color="auto"/>
            <w:right w:val="none" w:sz="0" w:space="0" w:color="auto"/>
          </w:divBdr>
        </w:div>
        <w:div w:id="2005162986">
          <w:marLeft w:val="274"/>
          <w:marRight w:val="0"/>
          <w:marTop w:val="0"/>
          <w:marBottom w:val="0"/>
          <w:divBdr>
            <w:top w:val="none" w:sz="0" w:space="0" w:color="auto"/>
            <w:left w:val="none" w:sz="0" w:space="0" w:color="auto"/>
            <w:bottom w:val="none" w:sz="0" w:space="0" w:color="auto"/>
            <w:right w:val="none" w:sz="0" w:space="0" w:color="auto"/>
          </w:divBdr>
        </w:div>
        <w:div w:id="845368612">
          <w:marLeft w:val="274"/>
          <w:marRight w:val="0"/>
          <w:marTop w:val="0"/>
          <w:marBottom w:val="0"/>
          <w:divBdr>
            <w:top w:val="none" w:sz="0" w:space="0" w:color="auto"/>
            <w:left w:val="none" w:sz="0" w:space="0" w:color="auto"/>
            <w:bottom w:val="none" w:sz="0" w:space="0" w:color="auto"/>
            <w:right w:val="none" w:sz="0" w:space="0" w:color="auto"/>
          </w:divBdr>
        </w:div>
      </w:divsChild>
    </w:div>
    <w:div w:id="160590401">
      <w:bodyDiv w:val="1"/>
      <w:marLeft w:val="0"/>
      <w:marRight w:val="0"/>
      <w:marTop w:val="0"/>
      <w:marBottom w:val="0"/>
      <w:divBdr>
        <w:top w:val="none" w:sz="0" w:space="0" w:color="auto"/>
        <w:left w:val="none" w:sz="0" w:space="0" w:color="auto"/>
        <w:bottom w:val="none" w:sz="0" w:space="0" w:color="auto"/>
        <w:right w:val="none" w:sz="0" w:space="0" w:color="auto"/>
      </w:divBdr>
      <w:divsChild>
        <w:div w:id="158276333">
          <w:marLeft w:val="274"/>
          <w:marRight w:val="0"/>
          <w:marTop w:val="0"/>
          <w:marBottom w:val="127"/>
          <w:divBdr>
            <w:top w:val="none" w:sz="0" w:space="0" w:color="auto"/>
            <w:left w:val="none" w:sz="0" w:space="0" w:color="auto"/>
            <w:bottom w:val="none" w:sz="0" w:space="0" w:color="auto"/>
            <w:right w:val="none" w:sz="0" w:space="0" w:color="auto"/>
          </w:divBdr>
        </w:div>
      </w:divsChild>
    </w:div>
    <w:div w:id="168520272">
      <w:bodyDiv w:val="1"/>
      <w:marLeft w:val="0"/>
      <w:marRight w:val="0"/>
      <w:marTop w:val="0"/>
      <w:marBottom w:val="0"/>
      <w:divBdr>
        <w:top w:val="none" w:sz="0" w:space="0" w:color="auto"/>
        <w:left w:val="none" w:sz="0" w:space="0" w:color="auto"/>
        <w:bottom w:val="none" w:sz="0" w:space="0" w:color="auto"/>
        <w:right w:val="none" w:sz="0" w:space="0" w:color="auto"/>
      </w:divBdr>
    </w:div>
    <w:div w:id="317655648">
      <w:bodyDiv w:val="1"/>
      <w:marLeft w:val="0"/>
      <w:marRight w:val="0"/>
      <w:marTop w:val="0"/>
      <w:marBottom w:val="0"/>
      <w:divBdr>
        <w:top w:val="none" w:sz="0" w:space="0" w:color="auto"/>
        <w:left w:val="none" w:sz="0" w:space="0" w:color="auto"/>
        <w:bottom w:val="none" w:sz="0" w:space="0" w:color="auto"/>
        <w:right w:val="none" w:sz="0" w:space="0" w:color="auto"/>
      </w:divBdr>
    </w:div>
    <w:div w:id="707296225">
      <w:bodyDiv w:val="1"/>
      <w:marLeft w:val="0"/>
      <w:marRight w:val="0"/>
      <w:marTop w:val="0"/>
      <w:marBottom w:val="0"/>
      <w:divBdr>
        <w:top w:val="none" w:sz="0" w:space="0" w:color="auto"/>
        <w:left w:val="none" w:sz="0" w:space="0" w:color="auto"/>
        <w:bottom w:val="none" w:sz="0" w:space="0" w:color="auto"/>
        <w:right w:val="none" w:sz="0" w:space="0" w:color="auto"/>
      </w:divBdr>
      <w:divsChild>
        <w:div w:id="494224090">
          <w:marLeft w:val="274"/>
          <w:marRight w:val="0"/>
          <w:marTop w:val="0"/>
          <w:marBottom w:val="0"/>
          <w:divBdr>
            <w:top w:val="none" w:sz="0" w:space="0" w:color="auto"/>
            <w:left w:val="none" w:sz="0" w:space="0" w:color="auto"/>
            <w:bottom w:val="none" w:sz="0" w:space="0" w:color="auto"/>
            <w:right w:val="none" w:sz="0" w:space="0" w:color="auto"/>
          </w:divBdr>
        </w:div>
        <w:div w:id="1743722470">
          <w:marLeft w:val="274"/>
          <w:marRight w:val="0"/>
          <w:marTop w:val="0"/>
          <w:marBottom w:val="0"/>
          <w:divBdr>
            <w:top w:val="none" w:sz="0" w:space="0" w:color="auto"/>
            <w:left w:val="none" w:sz="0" w:space="0" w:color="auto"/>
            <w:bottom w:val="none" w:sz="0" w:space="0" w:color="auto"/>
            <w:right w:val="none" w:sz="0" w:space="0" w:color="auto"/>
          </w:divBdr>
        </w:div>
        <w:div w:id="1752967948">
          <w:marLeft w:val="274"/>
          <w:marRight w:val="0"/>
          <w:marTop w:val="0"/>
          <w:marBottom w:val="0"/>
          <w:divBdr>
            <w:top w:val="none" w:sz="0" w:space="0" w:color="auto"/>
            <w:left w:val="none" w:sz="0" w:space="0" w:color="auto"/>
            <w:bottom w:val="none" w:sz="0" w:space="0" w:color="auto"/>
            <w:right w:val="none" w:sz="0" w:space="0" w:color="auto"/>
          </w:divBdr>
        </w:div>
        <w:div w:id="1049915614">
          <w:marLeft w:val="274"/>
          <w:marRight w:val="0"/>
          <w:marTop w:val="0"/>
          <w:marBottom w:val="0"/>
          <w:divBdr>
            <w:top w:val="none" w:sz="0" w:space="0" w:color="auto"/>
            <w:left w:val="none" w:sz="0" w:space="0" w:color="auto"/>
            <w:bottom w:val="none" w:sz="0" w:space="0" w:color="auto"/>
            <w:right w:val="none" w:sz="0" w:space="0" w:color="auto"/>
          </w:divBdr>
        </w:div>
        <w:div w:id="830216401">
          <w:marLeft w:val="274"/>
          <w:marRight w:val="0"/>
          <w:marTop w:val="0"/>
          <w:marBottom w:val="0"/>
          <w:divBdr>
            <w:top w:val="none" w:sz="0" w:space="0" w:color="auto"/>
            <w:left w:val="none" w:sz="0" w:space="0" w:color="auto"/>
            <w:bottom w:val="none" w:sz="0" w:space="0" w:color="auto"/>
            <w:right w:val="none" w:sz="0" w:space="0" w:color="auto"/>
          </w:divBdr>
        </w:div>
      </w:divsChild>
    </w:div>
    <w:div w:id="734666516">
      <w:bodyDiv w:val="1"/>
      <w:marLeft w:val="0"/>
      <w:marRight w:val="0"/>
      <w:marTop w:val="0"/>
      <w:marBottom w:val="0"/>
      <w:divBdr>
        <w:top w:val="none" w:sz="0" w:space="0" w:color="auto"/>
        <w:left w:val="none" w:sz="0" w:space="0" w:color="auto"/>
        <w:bottom w:val="none" w:sz="0" w:space="0" w:color="auto"/>
        <w:right w:val="none" w:sz="0" w:space="0" w:color="auto"/>
      </w:divBdr>
      <w:divsChild>
        <w:div w:id="45380827">
          <w:marLeft w:val="274"/>
          <w:marRight w:val="0"/>
          <w:marTop w:val="21"/>
          <w:marBottom w:val="127"/>
          <w:divBdr>
            <w:top w:val="none" w:sz="0" w:space="0" w:color="auto"/>
            <w:left w:val="none" w:sz="0" w:space="0" w:color="auto"/>
            <w:bottom w:val="none" w:sz="0" w:space="0" w:color="auto"/>
            <w:right w:val="none" w:sz="0" w:space="0" w:color="auto"/>
          </w:divBdr>
        </w:div>
        <w:div w:id="2017490119">
          <w:marLeft w:val="274"/>
          <w:marRight w:val="0"/>
          <w:marTop w:val="21"/>
          <w:marBottom w:val="127"/>
          <w:divBdr>
            <w:top w:val="none" w:sz="0" w:space="0" w:color="auto"/>
            <w:left w:val="none" w:sz="0" w:space="0" w:color="auto"/>
            <w:bottom w:val="none" w:sz="0" w:space="0" w:color="auto"/>
            <w:right w:val="none" w:sz="0" w:space="0" w:color="auto"/>
          </w:divBdr>
        </w:div>
      </w:divsChild>
    </w:div>
    <w:div w:id="1082683397">
      <w:bodyDiv w:val="1"/>
      <w:marLeft w:val="0"/>
      <w:marRight w:val="0"/>
      <w:marTop w:val="0"/>
      <w:marBottom w:val="0"/>
      <w:divBdr>
        <w:top w:val="none" w:sz="0" w:space="0" w:color="auto"/>
        <w:left w:val="none" w:sz="0" w:space="0" w:color="auto"/>
        <w:bottom w:val="none" w:sz="0" w:space="0" w:color="auto"/>
        <w:right w:val="none" w:sz="0" w:space="0" w:color="auto"/>
      </w:divBdr>
      <w:divsChild>
        <w:div w:id="954366251">
          <w:marLeft w:val="274"/>
          <w:marRight w:val="0"/>
          <w:marTop w:val="0"/>
          <w:marBottom w:val="0"/>
          <w:divBdr>
            <w:top w:val="none" w:sz="0" w:space="0" w:color="auto"/>
            <w:left w:val="none" w:sz="0" w:space="0" w:color="auto"/>
            <w:bottom w:val="none" w:sz="0" w:space="0" w:color="auto"/>
            <w:right w:val="none" w:sz="0" w:space="0" w:color="auto"/>
          </w:divBdr>
        </w:div>
        <w:div w:id="936063526">
          <w:marLeft w:val="274"/>
          <w:marRight w:val="0"/>
          <w:marTop w:val="0"/>
          <w:marBottom w:val="0"/>
          <w:divBdr>
            <w:top w:val="none" w:sz="0" w:space="0" w:color="auto"/>
            <w:left w:val="none" w:sz="0" w:space="0" w:color="auto"/>
            <w:bottom w:val="none" w:sz="0" w:space="0" w:color="auto"/>
            <w:right w:val="none" w:sz="0" w:space="0" w:color="auto"/>
          </w:divBdr>
        </w:div>
        <w:div w:id="1197504065">
          <w:marLeft w:val="274"/>
          <w:marRight w:val="0"/>
          <w:marTop w:val="0"/>
          <w:marBottom w:val="0"/>
          <w:divBdr>
            <w:top w:val="none" w:sz="0" w:space="0" w:color="auto"/>
            <w:left w:val="none" w:sz="0" w:space="0" w:color="auto"/>
            <w:bottom w:val="none" w:sz="0" w:space="0" w:color="auto"/>
            <w:right w:val="none" w:sz="0" w:space="0" w:color="auto"/>
          </w:divBdr>
        </w:div>
      </w:divsChild>
    </w:div>
    <w:div w:id="1560441172">
      <w:bodyDiv w:val="1"/>
      <w:marLeft w:val="0"/>
      <w:marRight w:val="0"/>
      <w:marTop w:val="0"/>
      <w:marBottom w:val="0"/>
      <w:divBdr>
        <w:top w:val="none" w:sz="0" w:space="0" w:color="auto"/>
        <w:left w:val="none" w:sz="0" w:space="0" w:color="auto"/>
        <w:bottom w:val="none" w:sz="0" w:space="0" w:color="auto"/>
        <w:right w:val="none" w:sz="0" w:space="0" w:color="auto"/>
      </w:divBdr>
    </w:div>
    <w:div w:id="1658338660">
      <w:bodyDiv w:val="1"/>
      <w:marLeft w:val="0"/>
      <w:marRight w:val="0"/>
      <w:marTop w:val="0"/>
      <w:marBottom w:val="0"/>
      <w:divBdr>
        <w:top w:val="none" w:sz="0" w:space="0" w:color="auto"/>
        <w:left w:val="none" w:sz="0" w:space="0" w:color="auto"/>
        <w:bottom w:val="none" w:sz="0" w:space="0" w:color="auto"/>
        <w:right w:val="none" w:sz="0" w:space="0" w:color="auto"/>
      </w:divBdr>
      <w:divsChild>
        <w:div w:id="1864443083">
          <w:marLeft w:val="274"/>
          <w:marRight w:val="0"/>
          <w:marTop w:val="0"/>
          <w:marBottom w:val="0"/>
          <w:divBdr>
            <w:top w:val="none" w:sz="0" w:space="0" w:color="auto"/>
            <w:left w:val="none" w:sz="0" w:space="0" w:color="auto"/>
            <w:bottom w:val="none" w:sz="0" w:space="0" w:color="auto"/>
            <w:right w:val="none" w:sz="0" w:space="0" w:color="auto"/>
          </w:divBdr>
        </w:div>
        <w:div w:id="2116290760">
          <w:marLeft w:val="274"/>
          <w:marRight w:val="0"/>
          <w:marTop w:val="0"/>
          <w:marBottom w:val="0"/>
          <w:divBdr>
            <w:top w:val="none" w:sz="0" w:space="0" w:color="auto"/>
            <w:left w:val="none" w:sz="0" w:space="0" w:color="auto"/>
            <w:bottom w:val="none" w:sz="0" w:space="0" w:color="auto"/>
            <w:right w:val="none" w:sz="0" w:space="0" w:color="auto"/>
          </w:divBdr>
        </w:div>
        <w:div w:id="1219322091">
          <w:marLeft w:val="274"/>
          <w:marRight w:val="0"/>
          <w:marTop w:val="0"/>
          <w:marBottom w:val="0"/>
          <w:divBdr>
            <w:top w:val="none" w:sz="0" w:space="0" w:color="auto"/>
            <w:left w:val="none" w:sz="0" w:space="0" w:color="auto"/>
            <w:bottom w:val="none" w:sz="0" w:space="0" w:color="auto"/>
            <w:right w:val="none" w:sz="0" w:space="0" w:color="auto"/>
          </w:divBdr>
        </w:div>
        <w:div w:id="688524306">
          <w:marLeft w:val="274"/>
          <w:marRight w:val="0"/>
          <w:marTop w:val="0"/>
          <w:marBottom w:val="0"/>
          <w:divBdr>
            <w:top w:val="none" w:sz="0" w:space="0" w:color="auto"/>
            <w:left w:val="none" w:sz="0" w:space="0" w:color="auto"/>
            <w:bottom w:val="none" w:sz="0" w:space="0" w:color="auto"/>
            <w:right w:val="none" w:sz="0" w:space="0" w:color="auto"/>
          </w:divBdr>
        </w:div>
        <w:div w:id="581530318">
          <w:marLeft w:val="274"/>
          <w:marRight w:val="0"/>
          <w:marTop w:val="0"/>
          <w:marBottom w:val="0"/>
          <w:divBdr>
            <w:top w:val="none" w:sz="0" w:space="0" w:color="auto"/>
            <w:left w:val="none" w:sz="0" w:space="0" w:color="auto"/>
            <w:bottom w:val="none" w:sz="0" w:space="0" w:color="auto"/>
            <w:right w:val="none" w:sz="0" w:space="0" w:color="auto"/>
          </w:divBdr>
        </w:div>
      </w:divsChild>
    </w:div>
    <w:div w:id="1962489237">
      <w:bodyDiv w:val="1"/>
      <w:marLeft w:val="0"/>
      <w:marRight w:val="0"/>
      <w:marTop w:val="0"/>
      <w:marBottom w:val="0"/>
      <w:divBdr>
        <w:top w:val="none" w:sz="0" w:space="0" w:color="auto"/>
        <w:left w:val="none" w:sz="0" w:space="0" w:color="auto"/>
        <w:bottom w:val="none" w:sz="0" w:space="0" w:color="auto"/>
        <w:right w:val="none" w:sz="0" w:space="0" w:color="auto"/>
      </w:divBdr>
    </w:div>
    <w:div w:id="2047561345">
      <w:bodyDiv w:val="1"/>
      <w:marLeft w:val="0"/>
      <w:marRight w:val="0"/>
      <w:marTop w:val="0"/>
      <w:marBottom w:val="0"/>
      <w:divBdr>
        <w:top w:val="none" w:sz="0" w:space="0" w:color="auto"/>
        <w:left w:val="none" w:sz="0" w:space="0" w:color="auto"/>
        <w:bottom w:val="none" w:sz="0" w:space="0" w:color="auto"/>
        <w:right w:val="none" w:sz="0" w:space="0" w:color="auto"/>
      </w:divBdr>
      <w:divsChild>
        <w:div w:id="1092042930">
          <w:marLeft w:val="274"/>
          <w:marRight w:val="0"/>
          <w:marTop w:val="0"/>
          <w:marBottom w:val="0"/>
          <w:divBdr>
            <w:top w:val="none" w:sz="0" w:space="0" w:color="auto"/>
            <w:left w:val="none" w:sz="0" w:space="0" w:color="auto"/>
            <w:bottom w:val="none" w:sz="0" w:space="0" w:color="auto"/>
            <w:right w:val="none" w:sz="0" w:space="0" w:color="auto"/>
          </w:divBdr>
        </w:div>
        <w:div w:id="590427498">
          <w:marLeft w:val="274"/>
          <w:marRight w:val="0"/>
          <w:marTop w:val="0"/>
          <w:marBottom w:val="0"/>
          <w:divBdr>
            <w:top w:val="none" w:sz="0" w:space="0" w:color="auto"/>
            <w:left w:val="none" w:sz="0" w:space="0" w:color="auto"/>
            <w:bottom w:val="none" w:sz="0" w:space="0" w:color="auto"/>
            <w:right w:val="none" w:sz="0" w:space="0" w:color="auto"/>
          </w:divBdr>
        </w:div>
        <w:div w:id="586118274">
          <w:marLeft w:val="274"/>
          <w:marRight w:val="0"/>
          <w:marTop w:val="0"/>
          <w:marBottom w:val="0"/>
          <w:divBdr>
            <w:top w:val="none" w:sz="0" w:space="0" w:color="auto"/>
            <w:left w:val="none" w:sz="0" w:space="0" w:color="auto"/>
            <w:bottom w:val="none" w:sz="0" w:space="0" w:color="auto"/>
            <w:right w:val="none" w:sz="0" w:space="0" w:color="auto"/>
          </w:divBdr>
        </w:div>
        <w:div w:id="494103429">
          <w:marLeft w:val="274"/>
          <w:marRight w:val="0"/>
          <w:marTop w:val="0"/>
          <w:marBottom w:val="0"/>
          <w:divBdr>
            <w:top w:val="none" w:sz="0" w:space="0" w:color="auto"/>
            <w:left w:val="none" w:sz="0" w:space="0" w:color="auto"/>
            <w:bottom w:val="none" w:sz="0" w:space="0" w:color="auto"/>
            <w:right w:val="none" w:sz="0" w:space="0" w:color="auto"/>
          </w:divBdr>
        </w:div>
        <w:div w:id="202482099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mailto:basile.vellut@fednot.be"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fednot.be"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1499</Words>
  <Characters>8247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FEDNOT</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Basile Vellut</dc:creator>
  <cp:keywords/>
  <dc:description/>
  <cp:lastModifiedBy>Basile Vellut</cp:lastModifiedBy>
  <cp:revision>10</cp:revision>
  <dcterms:created xsi:type="dcterms:W3CDTF">2025-02-06T13:51:00Z</dcterms:created>
  <dcterms:modified xsi:type="dcterms:W3CDTF">2025-02-09T19:53:00Z</dcterms:modified>
</cp:coreProperties>
</file>